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A1CE1" w14:textId="77777777" w:rsidR="00B85524" w:rsidRPr="00B402D5" w:rsidRDefault="00545AED" w:rsidP="00545AED">
      <w:pPr>
        <w:jc w:val="center"/>
        <w:rPr>
          <w:rFonts w:ascii="Times New Roman" w:hAnsi="Times New Roman" w:cs="Times New Roman"/>
          <w:b/>
          <w:color w:val="FF0000"/>
          <w:sz w:val="24"/>
          <w:szCs w:val="16"/>
          <w:u w:val="single"/>
        </w:rPr>
      </w:pPr>
      <w:r w:rsidRPr="00B402D5">
        <w:rPr>
          <w:rFonts w:ascii="Times New Roman" w:hAnsi="Times New Roman" w:cs="Times New Roman"/>
          <w:b/>
          <w:color w:val="FF0000"/>
          <w:sz w:val="24"/>
          <w:szCs w:val="16"/>
          <w:u w:val="single"/>
        </w:rPr>
        <w:t>CORRECTION DU DOSSIER SUR LA REGION ILE-DE-FRANCE</w:t>
      </w:r>
    </w:p>
    <w:p w14:paraId="2BEBA279" w14:textId="661BA4EC" w:rsidR="00FD656E" w:rsidRPr="00B402D5" w:rsidRDefault="00FD656E" w:rsidP="00FD656E">
      <w:pPr>
        <w:jc w:val="both"/>
        <w:rPr>
          <w:rFonts w:ascii="Times New Roman" w:hAnsi="Times New Roman" w:cs="Times New Roman"/>
          <w:b/>
          <w:color w:val="FF0000"/>
          <w:sz w:val="24"/>
          <w:szCs w:val="16"/>
        </w:rPr>
      </w:pP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I)- Présentation de ma région : quelle est sa place en France et en Europe ?</w:t>
      </w:r>
      <w:r w:rsidRPr="00B402D5">
        <w:rPr>
          <w:rFonts w:ascii="Times New Roman" w:hAnsi="Times New Roman" w:cs="Times New Roman"/>
          <w:b/>
          <w:color w:val="FF0000"/>
          <w:sz w:val="24"/>
          <w:szCs w:val="16"/>
        </w:rPr>
        <w:tab/>
      </w:r>
    </w:p>
    <w:p w14:paraId="0F3BC225" w14:textId="77777777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 xml:space="preserve">LOGO : 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L’étoile représente la région et chaque pointe l’un des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8 départements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qui la composent. </w:t>
      </w:r>
    </w:p>
    <w:p w14:paraId="0293CAAE" w14:textId="77777777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1)-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Val-d’Oise ; Seine-Saint-Denis ; Val-de-Marne ; Seine-et-Marne ; Essonne : Yvelines ; Hauts-de-Seine ; Paris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. </w:t>
      </w:r>
    </w:p>
    <w:p w14:paraId="7AD32264" w14:textId="0A6F75EF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2)-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27 régions à indiquer + Ile-de-France en rouge.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 xml:space="preserve"> </w:t>
      </w:r>
      <w:r w:rsidR="0030583C" w:rsidRPr="00B402D5">
        <w:rPr>
          <w:rFonts w:ascii="Times New Roman" w:hAnsi="Times New Roman" w:cs="Times New Roman"/>
          <w:b/>
          <w:color w:val="00B050"/>
          <w:sz w:val="24"/>
          <w:szCs w:val="16"/>
        </w:rPr>
        <w:t>(</w:t>
      </w:r>
      <w:r w:rsidR="0030583C" w:rsidRPr="00B402D5">
        <w:rPr>
          <w:rFonts w:ascii="Times New Roman" w:hAnsi="Times New Roman" w:cs="Times New Roman"/>
          <w:b/>
          <w:bCs/>
          <w:color w:val="00B050"/>
          <w:sz w:val="24"/>
          <w:szCs w:val="16"/>
        </w:rPr>
        <w:t>Réforme territoriale applicable en 2016 avec 13 régions)</w:t>
      </w:r>
    </w:p>
    <w:p w14:paraId="10DB447A" w14:textId="6F84CFF8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3)-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La région est, et de loin</w:t>
      </w:r>
      <w:r w:rsidR="00B402D5">
        <w:rPr>
          <w:rFonts w:ascii="Times New Roman" w:hAnsi="Times New Roman" w:cs="Times New Roman"/>
          <w:color w:val="00B050"/>
          <w:sz w:val="24"/>
          <w:szCs w:val="16"/>
        </w:rPr>
        <w:t>,</w:t>
      </w:r>
      <w:bookmarkStart w:id="0" w:name="_GoBack"/>
      <w:bookmarkEnd w:id="0"/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la région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la plus peuplée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 avec 11, 8 millions d’habitants soit 19% de la population française et la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plus riche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de France.  Son PIB représente 29%  de la richesse nationale </w:t>
      </w:r>
    </w:p>
    <w:p w14:paraId="46DEC753" w14:textId="77777777" w:rsidR="00D536F1" w:rsidRPr="00B402D5" w:rsidRDefault="00D536F1" w:rsidP="00D536F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4)-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C’est aussi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l’une des plus riches d’Europe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(la 6</w:t>
      </w:r>
      <w:r w:rsidRPr="00B402D5">
        <w:rPr>
          <w:rFonts w:ascii="Times New Roman" w:hAnsi="Times New Roman" w:cs="Times New Roman"/>
          <w:color w:val="00B050"/>
          <w:sz w:val="24"/>
          <w:szCs w:val="16"/>
          <w:vertAlign w:val="superscript"/>
        </w:rPr>
        <w:t>ème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) .Son PIB représente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4% du PIB européen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. Le PIB par habitant est nettement supérieur à la moyenne européenne. Elle est un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pôle européen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de premier ordre. </w:t>
      </w:r>
      <w:r w:rsidRPr="00B402D5"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  <w:t xml:space="preserve">L’importance de la région en France et en Europe peut être illustrée par le pourcentage élevé des investissements étrangers en IDF (39% des investissements). </w:t>
      </w:r>
    </w:p>
    <w:p w14:paraId="7FE06706" w14:textId="13F74BF2" w:rsidR="00C8798D" w:rsidRPr="00B402D5" w:rsidRDefault="006B62E1" w:rsidP="00545AED">
      <w:pPr>
        <w:jc w:val="both"/>
        <w:rPr>
          <w:rFonts w:ascii="Times New Roman" w:hAnsi="Times New Roman" w:cs="Times New Roman"/>
          <w:color w:val="FF0000"/>
          <w:sz w:val="24"/>
          <w:szCs w:val="16"/>
        </w:rPr>
      </w:pP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II)- A quoi sert le conseil régional d'Ile-de-France ?</w:t>
      </w:r>
      <w:r w:rsidR="00DD4524" w:rsidRPr="00B402D5"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 </w:t>
      </w:r>
      <w:r w:rsidR="00DD4524" w:rsidRPr="00B402D5">
        <w:rPr>
          <w:rFonts w:ascii="Times New Roman" w:hAnsi="Times New Roman" w:cs="Times New Roman"/>
          <w:b/>
          <w:bCs/>
          <w:color w:val="FF0000"/>
          <w:sz w:val="24"/>
          <w:szCs w:val="16"/>
        </w:rPr>
        <w:tab/>
      </w:r>
      <w:r w:rsidRPr="00B402D5">
        <w:rPr>
          <w:rFonts w:ascii="Times New Roman" w:hAnsi="Times New Roman" w:cs="Times New Roman"/>
          <w:color w:val="FF0000"/>
          <w:sz w:val="24"/>
          <w:szCs w:val="16"/>
        </w:rPr>
        <w:tab/>
      </w:r>
    </w:p>
    <w:p w14:paraId="35A7F1FB" w14:textId="77777777" w:rsidR="00D536F1" w:rsidRPr="00B402D5" w:rsidRDefault="00D536F1" w:rsidP="00D536F1">
      <w:pPr>
        <w:jc w:val="both"/>
        <w:rPr>
          <w:rFonts w:ascii="Times New Roman" w:hAnsi="Times New Roman" w:cs="Times New Roman"/>
          <w:b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5)-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Transports &amp; mobilité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(1,7milliard) ;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Lycées 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(673 millions),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Economie, innovation &amp; tourisme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(241 millions)  </w:t>
      </w:r>
    </w:p>
    <w:p w14:paraId="2F834377" w14:textId="2E0D0EF3" w:rsidR="006B62E1" w:rsidRPr="00B402D5" w:rsidRDefault="006B62E1" w:rsidP="006B62E1">
      <w:pPr>
        <w:jc w:val="both"/>
        <w:rPr>
          <w:rFonts w:ascii="Times New Roman" w:hAnsi="Times New Roman" w:cs="Times New Roman"/>
          <w:b/>
          <w:color w:val="FF0000"/>
          <w:sz w:val="24"/>
          <w:szCs w:val="16"/>
        </w:rPr>
      </w:pP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III)-Quelles sont les particularités économiques de la région Ile-de-France ?</w:t>
      </w:r>
      <w:r w:rsidR="00DD4524"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 xml:space="preserve"> </w:t>
      </w:r>
      <w:r w:rsidR="00DD4524" w:rsidRPr="00B402D5">
        <w:rPr>
          <w:rFonts w:ascii="Times New Roman" w:hAnsi="Times New Roman" w:cs="Times New Roman"/>
          <w:b/>
          <w:bCs/>
          <w:color w:val="FF0000"/>
          <w:sz w:val="24"/>
          <w:szCs w:val="16"/>
        </w:rPr>
        <w:tab/>
      </w:r>
      <w:r w:rsidR="00DD4524" w:rsidRPr="00B402D5">
        <w:rPr>
          <w:rFonts w:ascii="Times New Roman" w:hAnsi="Times New Roman" w:cs="Times New Roman"/>
          <w:b/>
          <w:bCs/>
          <w:color w:val="FF0000"/>
          <w:sz w:val="24"/>
          <w:szCs w:val="16"/>
        </w:rPr>
        <w:tab/>
      </w:r>
    </w:p>
    <w:p w14:paraId="493643CB" w14:textId="77777777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6)-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Plus jeunes ; Plus de population d’origine étrangère ; Plus mobile ; Plus densément peuplé. </w:t>
      </w:r>
    </w:p>
    <w:p w14:paraId="41D397B7" w14:textId="77777777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7)-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Prédominance du secteur tertiaire (banque, tourisme, aide à la personne, commerce)</w:t>
      </w:r>
    </w:p>
    <w:p w14:paraId="6D702091" w14:textId="77777777" w:rsidR="00D536F1" w:rsidRPr="00B402D5" w:rsidRDefault="00D536F1" w:rsidP="00D536F1">
      <w:pPr>
        <w:jc w:val="both"/>
        <w:rPr>
          <w:rFonts w:ascii="Times New Roman" w:hAnsi="Times New Roman" w:cs="Times New Roman"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8)-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Tourisme 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;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Industrie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dont une forte densité d’entreprises technologiques. Des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pôles de compétitivité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de réputation internationale ; Activités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financières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et de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recherche-développement 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;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Activités culturelles.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Dotée d’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 xml:space="preserve">infrastructures 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de premier plan qui la relient aux autres métropoles européennes </w:t>
      </w:r>
    </w:p>
    <w:p w14:paraId="019E59C2" w14:textId="77777777" w:rsidR="00D536F1" w:rsidRPr="00B402D5" w:rsidRDefault="00D536F1" w:rsidP="00D536F1">
      <w:pPr>
        <w:jc w:val="both"/>
        <w:rPr>
          <w:rFonts w:ascii="Times New Roman" w:hAnsi="Times New Roman" w:cs="Times New Roman"/>
          <w:b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9)-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Non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49%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de la superficie de la région est occupée par des 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espaces agricoles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. On y trouve une majorité de grandes exploitations. La production agricole est surtout céréalière </w:t>
      </w:r>
    </w:p>
    <w:p w14:paraId="62F1763C" w14:textId="0EFA9916" w:rsidR="00FD656E" w:rsidRPr="00B402D5" w:rsidRDefault="00FD656E" w:rsidP="00FD65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</w:pP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  <w:t>IV</w:t>
      </w:r>
      <w:r w:rsidR="00C8798D"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)-</w:t>
      </w: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  <w:t xml:space="preserve"> L’aménagement de ma région</w:t>
      </w:r>
      <w:r w:rsidR="00C8798D"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  <w:t xml:space="preserve">    </w:t>
      </w:r>
    </w:p>
    <w:p w14:paraId="2C19A50B" w14:textId="5CCD1C51" w:rsidR="00D536F1" w:rsidRPr="00B402D5" w:rsidRDefault="00D536F1" w:rsidP="00D536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1</w:t>
      </w:r>
      <w:r w:rsidR="00B90ADC" w:rsidRPr="00B402D5">
        <w:rPr>
          <w:rFonts w:ascii="Times New Roman" w:hAnsi="Times New Roman" w:cs="Times New Roman"/>
          <w:b/>
          <w:color w:val="00B050"/>
          <w:sz w:val="24"/>
          <w:szCs w:val="16"/>
        </w:rPr>
        <w:t>0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 </w:t>
      </w:r>
      <w:r w:rsidRPr="00B402D5"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  <w:t xml:space="preserve">Le </w:t>
      </w:r>
      <w:r w:rsidRPr="00B402D5">
        <w:rPr>
          <w:rFonts w:ascii="Times New Roman" w:hAnsi="Times New Roman" w:cs="Times New Roman"/>
          <w:b/>
          <w:bCs/>
          <w:color w:val="00B050"/>
          <w:sz w:val="24"/>
          <w:szCs w:val="16"/>
          <w:lang w:eastAsia="fr-FR"/>
        </w:rPr>
        <w:t>réseau de métro automatique</w:t>
      </w:r>
      <w:r w:rsidRPr="00B402D5"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  <w:t xml:space="preserve"> et le développement de </w:t>
      </w:r>
      <w:r w:rsidRPr="00B402D5">
        <w:rPr>
          <w:rFonts w:ascii="Times New Roman" w:hAnsi="Times New Roman" w:cs="Times New Roman"/>
          <w:b/>
          <w:bCs/>
          <w:color w:val="00B050"/>
          <w:sz w:val="24"/>
          <w:szCs w:val="16"/>
          <w:lang w:eastAsia="fr-FR"/>
        </w:rPr>
        <w:t>pôles d’activité économiques et scientifiques</w:t>
      </w:r>
      <w:r w:rsidRPr="00B402D5"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  <w:t xml:space="preserve"> constituent les aménagements régionaux du Grand Paris.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 xml:space="preserve"> </w:t>
      </w:r>
    </w:p>
    <w:p w14:paraId="6EDD55DC" w14:textId="59ABEDA3" w:rsidR="00D536F1" w:rsidRPr="00B402D5" w:rsidRDefault="00D536F1" w:rsidP="00D536F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24"/>
          <w:szCs w:val="16"/>
        </w:rPr>
      </w:pP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1</w:t>
      </w:r>
      <w:r w:rsidR="00B90ADC" w:rsidRPr="00B402D5">
        <w:rPr>
          <w:rFonts w:ascii="Times New Roman" w:hAnsi="Times New Roman" w:cs="Times New Roman"/>
          <w:b/>
          <w:color w:val="00B050"/>
          <w:sz w:val="24"/>
          <w:szCs w:val="16"/>
        </w:rPr>
        <w:t>1</w:t>
      </w:r>
      <w:r w:rsidRPr="00B402D5">
        <w:rPr>
          <w:rFonts w:ascii="Times New Roman" w:hAnsi="Times New Roman" w:cs="Times New Roman"/>
          <w:b/>
          <w:color w:val="00B050"/>
          <w:sz w:val="24"/>
          <w:szCs w:val="16"/>
        </w:rPr>
        <w:t>)-</w:t>
      </w:r>
      <w:r w:rsidRPr="00B402D5">
        <w:rPr>
          <w:rFonts w:ascii="Times New Roman" w:hAnsi="Times New Roman" w:cs="Times New Roman"/>
          <w:color w:val="00B050"/>
          <w:sz w:val="24"/>
          <w:szCs w:val="16"/>
        </w:rPr>
        <w:t xml:space="preserve">  </w:t>
      </w:r>
      <w:r w:rsidRPr="00B402D5"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  <w:t xml:space="preserve">Les acteurs impliqués sont la région </w:t>
      </w:r>
      <w:r w:rsidRPr="00B402D5">
        <w:rPr>
          <w:rFonts w:ascii="Times New Roman" w:hAnsi="Times New Roman" w:cs="Times New Roman"/>
          <w:b/>
          <w:bCs/>
          <w:color w:val="00B050"/>
          <w:sz w:val="24"/>
          <w:szCs w:val="16"/>
          <w:lang w:eastAsia="fr-FR"/>
        </w:rPr>
        <w:t>Île-de-France</w:t>
      </w:r>
      <w:r w:rsidRPr="00B402D5">
        <w:rPr>
          <w:rFonts w:ascii="Times New Roman" w:hAnsi="Times New Roman" w:cs="Times New Roman"/>
          <w:bCs/>
          <w:color w:val="00B050"/>
          <w:sz w:val="24"/>
          <w:szCs w:val="16"/>
          <w:lang w:eastAsia="fr-FR"/>
        </w:rPr>
        <w:t xml:space="preserve"> et l</w:t>
      </w:r>
      <w:r w:rsidRPr="00B402D5">
        <w:rPr>
          <w:rFonts w:ascii="Times New Roman" w:hAnsi="Times New Roman" w:cs="Times New Roman"/>
          <w:b/>
          <w:bCs/>
          <w:color w:val="00B050"/>
          <w:sz w:val="24"/>
          <w:szCs w:val="16"/>
          <w:lang w:eastAsia="fr-FR"/>
        </w:rPr>
        <w:t xml:space="preserve">’État </w:t>
      </w:r>
    </w:p>
    <w:p w14:paraId="2699FCFA" w14:textId="4354F196" w:rsidR="00C8798D" w:rsidRPr="00B402D5" w:rsidRDefault="00C8798D" w:rsidP="00C879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</w:pP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  <w:t>V</w:t>
      </w: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</w:rPr>
        <w:t>)-</w:t>
      </w:r>
      <w:r w:rsidRPr="00B402D5">
        <w:rPr>
          <w:rFonts w:ascii="Times New Roman" w:hAnsi="Times New Roman" w:cs="Times New Roman"/>
          <w:b/>
          <w:bCs/>
          <w:color w:val="FF0000"/>
          <w:sz w:val="24"/>
          <w:szCs w:val="16"/>
          <w:u w:val="single"/>
          <w:lang w:eastAsia="fr-FR"/>
        </w:rPr>
        <w:t xml:space="preserve"> Schéma de synthèse : l’organisation de l’espace de la région Ile de France</w:t>
      </w:r>
    </w:p>
    <w:sectPr w:rsidR="00C8798D" w:rsidRPr="00B402D5" w:rsidSect="00B4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ED"/>
    <w:rsid w:val="0015048A"/>
    <w:rsid w:val="00151D3E"/>
    <w:rsid w:val="001E24C1"/>
    <w:rsid w:val="0030583C"/>
    <w:rsid w:val="004632FD"/>
    <w:rsid w:val="00545AED"/>
    <w:rsid w:val="006B62E1"/>
    <w:rsid w:val="00780A62"/>
    <w:rsid w:val="00826665"/>
    <w:rsid w:val="00A616A5"/>
    <w:rsid w:val="00B402D5"/>
    <w:rsid w:val="00B85524"/>
    <w:rsid w:val="00B90ADC"/>
    <w:rsid w:val="00BC3C8C"/>
    <w:rsid w:val="00C8798D"/>
    <w:rsid w:val="00D536F1"/>
    <w:rsid w:val="00DD4524"/>
    <w:rsid w:val="00EF4E1E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78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Marion BEILLARD</cp:lastModifiedBy>
  <cp:revision>3</cp:revision>
  <cp:lastPrinted>2015-03-11T13:17:00Z</cp:lastPrinted>
  <dcterms:created xsi:type="dcterms:W3CDTF">2015-04-08T16:19:00Z</dcterms:created>
  <dcterms:modified xsi:type="dcterms:W3CDTF">2015-04-08T21:31:00Z</dcterms:modified>
</cp:coreProperties>
</file>