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4645B6" w14:textId="77777777" w:rsidR="00FE6E81" w:rsidRDefault="00FE6E81" w:rsidP="003A7F71">
      <w:pPr>
        <w:jc w:val="center"/>
        <w:rPr>
          <w:b/>
          <w:color w:val="FF0000"/>
          <w:sz w:val="24"/>
          <w:u w:val="single"/>
        </w:rPr>
      </w:pPr>
    </w:p>
    <w:p w14:paraId="503973F1" w14:textId="6E9B79FF" w:rsidR="00213F5A" w:rsidRPr="007F3465" w:rsidRDefault="00237BB7" w:rsidP="003A7F71">
      <w:pPr>
        <w:jc w:val="center"/>
        <w:rPr>
          <w:b/>
          <w:color w:val="FF0000"/>
          <w:sz w:val="24"/>
          <w:u w:val="single"/>
        </w:rPr>
      </w:pPr>
      <w:r w:rsidRPr="007F3465">
        <w:rPr>
          <w:b/>
          <w:color w:val="FF0000"/>
          <w:sz w:val="24"/>
          <w:u w:val="single"/>
        </w:rPr>
        <w:t xml:space="preserve">EPI </w:t>
      </w:r>
      <w:r w:rsidR="007F3465" w:rsidRPr="007F3465">
        <w:rPr>
          <w:b/>
          <w:color w:val="FF0000"/>
          <w:sz w:val="24"/>
          <w:u w:val="single"/>
        </w:rPr>
        <w:t>en 4</w:t>
      </w:r>
      <w:r w:rsidR="007F3465" w:rsidRPr="007F3465">
        <w:rPr>
          <w:b/>
          <w:color w:val="FF0000"/>
          <w:sz w:val="24"/>
          <w:u w:val="single"/>
          <w:vertAlign w:val="superscript"/>
        </w:rPr>
        <w:t>ème</w:t>
      </w:r>
      <w:r w:rsidR="007F3465" w:rsidRPr="007F3465">
        <w:rPr>
          <w:b/>
          <w:color w:val="FF0000"/>
          <w:sz w:val="24"/>
          <w:u w:val="single"/>
        </w:rPr>
        <w:t xml:space="preserve"> </w:t>
      </w:r>
      <w:r w:rsidRPr="007F3465">
        <w:rPr>
          <w:b/>
          <w:color w:val="FF0000"/>
          <w:sz w:val="24"/>
          <w:u w:val="single"/>
        </w:rPr>
        <w:t>-</w:t>
      </w:r>
      <w:r w:rsidR="007F3465" w:rsidRPr="007F3465">
        <w:rPr>
          <w:b/>
          <w:color w:val="FF0000"/>
          <w:sz w:val="24"/>
          <w:u w:val="single"/>
        </w:rPr>
        <w:t xml:space="preserve"> </w:t>
      </w:r>
      <w:r w:rsidRPr="007F3465">
        <w:rPr>
          <w:b/>
          <w:color w:val="FF0000"/>
          <w:sz w:val="24"/>
          <w:u w:val="single"/>
        </w:rPr>
        <w:t>fiche démarche</w:t>
      </w:r>
    </w:p>
    <w:p w14:paraId="76C81A85" w14:textId="579407D1" w:rsidR="0082464D" w:rsidRDefault="0082464D" w:rsidP="00DF5CEB">
      <w:pPr>
        <w:pStyle w:val="Paragraphedeliste"/>
        <w:numPr>
          <w:ilvl w:val="0"/>
          <w:numId w:val="22"/>
        </w:numPr>
      </w:pPr>
      <w:r w:rsidRPr="00DF5CEB">
        <w:rPr>
          <w:b/>
        </w:rPr>
        <w:t>Professeurs </w:t>
      </w:r>
      <w:r>
        <w:t xml:space="preserve">: Mme </w:t>
      </w:r>
      <w:proofErr w:type="spellStart"/>
      <w:r>
        <w:t>Maciejczak</w:t>
      </w:r>
      <w:proofErr w:type="spellEnd"/>
      <w:r>
        <w:t xml:space="preserve"> </w:t>
      </w:r>
      <w:r w:rsidR="007F3465">
        <w:t xml:space="preserve">(histoire-géographie – EMC) </w:t>
      </w:r>
      <w:r>
        <w:t>et M. Raoul</w:t>
      </w:r>
      <w:r w:rsidR="007F3465">
        <w:t xml:space="preserve"> (français)</w:t>
      </w:r>
    </w:p>
    <w:p w14:paraId="43E28F15" w14:textId="6CDA9E49" w:rsidR="00EB698D" w:rsidRDefault="00237BB7" w:rsidP="00DF5CEB">
      <w:pPr>
        <w:pStyle w:val="Paragraphedeliste"/>
        <w:numPr>
          <w:ilvl w:val="0"/>
          <w:numId w:val="22"/>
        </w:numPr>
      </w:pPr>
      <w:r w:rsidRPr="00DF5CEB">
        <w:rPr>
          <w:b/>
        </w:rPr>
        <w:t xml:space="preserve">Thématique de l’EPI : </w:t>
      </w:r>
      <w:r w:rsidRPr="00237BB7">
        <w:t>information, communication et citoyenneté</w:t>
      </w:r>
    </w:p>
    <w:p w14:paraId="7A116295" w14:textId="3469F44E" w:rsidR="00FF0998" w:rsidRDefault="00D41EAC" w:rsidP="00DF5CEB">
      <w:pPr>
        <w:pStyle w:val="Paragraphedeliste"/>
        <w:numPr>
          <w:ilvl w:val="0"/>
          <w:numId w:val="22"/>
        </w:numPr>
      </w:pPr>
      <w:r w:rsidRPr="00DF5CEB">
        <w:rPr>
          <w:b/>
        </w:rPr>
        <w:t>Niveau</w:t>
      </w:r>
      <w:r>
        <w:t> : 4°</w:t>
      </w:r>
    </w:p>
    <w:p w14:paraId="5FCE1B84" w14:textId="032D494D" w:rsidR="00FF0998" w:rsidRDefault="00FF0998" w:rsidP="00DF5CEB">
      <w:pPr>
        <w:pStyle w:val="Paragraphedeliste"/>
        <w:numPr>
          <w:ilvl w:val="0"/>
          <w:numId w:val="22"/>
        </w:numPr>
      </w:pPr>
      <w:r w:rsidRPr="00DF5CEB">
        <w:rPr>
          <w:b/>
        </w:rPr>
        <w:t>Titre </w:t>
      </w:r>
      <w:r>
        <w:t>: « Comment peut-on être persan » à l’ère du numérique ?</w:t>
      </w:r>
    </w:p>
    <w:p w14:paraId="7B61C7FD" w14:textId="14A8A747" w:rsidR="006B4E89" w:rsidRDefault="006B4E89" w:rsidP="00DF5CEB">
      <w:pPr>
        <w:pStyle w:val="Paragraphedeliste"/>
        <w:numPr>
          <w:ilvl w:val="0"/>
          <w:numId w:val="22"/>
        </w:numPr>
      </w:pPr>
      <w:r>
        <w:rPr>
          <w:b/>
        </w:rPr>
        <w:t>Objectif </w:t>
      </w:r>
      <w:r w:rsidRPr="006B4E89">
        <w:t>:</w:t>
      </w:r>
      <w:r>
        <w:t xml:space="preserve"> </w:t>
      </w:r>
      <w:r w:rsidR="00B62CF2">
        <w:t xml:space="preserve">Rédiger des lettres à la façon des </w:t>
      </w:r>
      <w:r w:rsidR="00B62CF2" w:rsidRPr="007F3465">
        <w:rPr>
          <w:i/>
        </w:rPr>
        <w:t>Lettres persanes</w:t>
      </w:r>
      <w:r w:rsidR="00C33660">
        <w:t xml:space="preserve"> de Montesquieu</w:t>
      </w:r>
      <w:r w:rsidR="00B62CF2">
        <w:t xml:space="preserve"> sur le thème « respect d’autrui et liberté d’expression », en utilisant les outils numériques.</w:t>
      </w:r>
    </w:p>
    <w:p w14:paraId="253675B5" w14:textId="7456E5BB" w:rsidR="004D53ED" w:rsidRDefault="00B62CF2" w:rsidP="004D53ED">
      <w:pPr>
        <w:pStyle w:val="Paragraphedeliste"/>
        <w:numPr>
          <w:ilvl w:val="0"/>
          <w:numId w:val="22"/>
        </w:numPr>
      </w:pPr>
      <w:r w:rsidRPr="00F04CE4">
        <w:rPr>
          <w:b/>
        </w:rPr>
        <w:t>Conditions de l’autonomie des élèves </w:t>
      </w:r>
      <w:r w:rsidRPr="00B62CF2">
        <w:t>:</w:t>
      </w:r>
      <w:r>
        <w:t xml:space="preserve"> un corpus documentaire est fourni aux élèves, </w:t>
      </w:r>
      <w:r w:rsidR="00F04CE4">
        <w:t>le projet leur est présenté ainsi que les étapes d’une démarche de projet</w:t>
      </w:r>
      <w:r w:rsidR="00BA0E09">
        <w:t>,</w:t>
      </w:r>
      <w:r w:rsidR="00F04CE4">
        <w:t xml:space="preserve"> puis les élèves choisissent une stratégie, montent, planifient le projet et le mettent en œuvre.</w:t>
      </w:r>
      <w:r w:rsidR="00E921F9">
        <w:t xml:space="preserve"> La posture attendue des élèves est donc la posture réflexive.</w:t>
      </w:r>
    </w:p>
    <w:p w14:paraId="6F38FEE4" w14:textId="77777777" w:rsidR="00BA0E09" w:rsidRDefault="00E921F9" w:rsidP="004D53ED">
      <w:pPr>
        <w:pStyle w:val="Paragraphedeliste"/>
        <w:numPr>
          <w:ilvl w:val="0"/>
          <w:numId w:val="22"/>
        </w:numPr>
      </w:pPr>
      <w:r w:rsidRPr="004D53ED">
        <w:rPr>
          <w:b/>
        </w:rPr>
        <w:t xml:space="preserve">Posture </w:t>
      </w:r>
      <w:r w:rsidR="004D53ED" w:rsidRPr="004D53ED">
        <w:rPr>
          <w:b/>
        </w:rPr>
        <w:t>d’étayage des</w:t>
      </w:r>
      <w:r w:rsidRPr="004D53ED">
        <w:rPr>
          <w:b/>
        </w:rPr>
        <w:t xml:space="preserve"> enseignants et configuration des gestes </w:t>
      </w:r>
      <w:r w:rsidR="004D53ED" w:rsidRPr="004D53ED">
        <w:rPr>
          <w:b/>
        </w:rPr>
        <w:t>professionnels</w:t>
      </w:r>
      <w:r w:rsidR="004D53ED" w:rsidRPr="004D53ED">
        <w:t xml:space="preserve"> :</w:t>
      </w:r>
    </w:p>
    <w:p w14:paraId="59C6C27A" w14:textId="64E950E0" w:rsidR="00F04CE4" w:rsidRPr="004D53ED" w:rsidRDefault="00E921F9" w:rsidP="00BA0E09">
      <w:pPr>
        <w:pStyle w:val="Paragraphedeliste"/>
      </w:pPr>
      <w:r w:rsidRPr="004D53ED">
        <w:t xml:space="preserve"> « </w:t>
      </w:r>
      <w:r w:rsidR="00BA0E09" w:rsidRPr="004D53ED">
        <w:t>Posture</w:t>
      </w:r>
      <w:r w:rsidRPr="004D53ED">
        <w:t xml:space="preserve"> de lâcher-prise</w:t>
      </w:r>
      <w:r w:rsidR="00BA0E09" w:rsidRPr="004D53ED">
        <w:t> »</w:t>
      </w:r>
      <w:r w:rsidR="00BA0E09">
        <w:t xml:space="preserve"> *</w:t>
      </w:r>
      <w:r w:rsidRPr="004D53ED">
        <w:t xml:space="preserve"> : mettre les élèves en autonomie complète, le pilotage est confié au groupe autogéré, les élèves </w:t>
      </w:r>
      <w:r w:rsidR="004D53ED">
        <w:t>pensent seuls et sont créatifs.</w:t>
      </w:r>
    </w:p>
    <w:p w14:paraId="7C974A03" w14:textId="77777777" w:rsidR="004D53ED" w:rsidRDefault="00B67282" w:rsidP="004D53ED">
      <w:pPr>
        <w:pStyle w:val="Paragraphedeliste"/>
        <w:numPr>
          <w:ilvl w:val="0"/>
          <w:numId w:val="22"/>
        </w:numPr>
      </w:pPr>
      <w:r w:rsidRPr="00F04CE4">
        <w:rPr>
          <w:b/>
        </w:rPr>
        <w:t xml:space="preserve">Logiciel-matériel : </w:t>
      </w:r>
      <w:r w:rsidRPr="004E3B83">
        <w:t>Classe nomade ou salle informatique</w:t>
      </w:r>
    </w:p>
    <w:p w14:paraId="30F4F19D" w14:textId="48B5AC14" w:rsidR="00B67282" w:rsidRDefault="00B67282" w:rsidP="004D53ED">
      <w:pPr>
        <w:pStyle w:val="Paragraphedeliste"/>
      </w:pPr>
      <w:r w:rsidRPr="00BB1535">
        <w:t xml:space="preserve">Outil de travail collaboratif : </w:t>
      </w:r>
      <w:r>
        <w:t>« </w:t>
      </w:r>
      <w:proofErr w:type="spellStart"/>
      <w:r>
        <w:t>E</w:t>
      </w:r>
      <w:r w:rsidRPr="00BB1535">
        <w:t>dupad</w:t>
      </w:r>
      <w:proofErr w:type="spellEnd"/>
      <w:r>
        <w:t> »</w:t>
      </w:r>
      <w:r w:rsidRPr="00BB1535">
        <w:t xml:space="preserve"> pour l’élaboration des lettres par groupe</w:t>
      </w:r>
      <w:r>
        <w:t xml:space="preserve"> et le site « </w:t>
      </w:r>
      <w:proofErr w:type="spellStart"/>
      <w:r>
        <w:t>Lecriveron</w:t>
      </w:r>
      <w:proofErr w:type="spellEnd"/>
      <w:r>
        <w:t xml:space="preserve"> » pour la création du recueil de lettres.</w:t>
      </w:r>
    </w:p>
    <w:p w14:paraId="41EA79DC" w14:textId="429A4C32" w:rsidR="00FF0998" w:rsidRPr="00FF0998" w:rsidRDefault="00FF0998" w:rsidP="00DF5CEB">
      <w:pPr>
        <w:pStyle w:val="Paragraphedeliste"/>
        <w:numPr>
          <w:ilvl w:val="0"/>
          <w:numId w:val="22"/>
        </w:numPr>
      </w:pPr>
      <w:r w:rsidRPr="00DF5CEB">
        <w:rPr>
          <w:b/>
        </w:rPr>
        <w:t>Matières et production finale</w:t>
      </w:r>
    </w:p>
    <w:p w14:paraId="6D3FC19E" w14:textId="1BD30A5A" w:rsidR="00FF0998" w:rsidRPr="009649B5" w:rsidRDefault="00FF0998" w:rsidP="009649B5">
      <w:pPr>
        <w:rPr>
          <w:b/>
        </w:rPr>
      </w:pPr>
      <w:r>
        <w:rPr>
          <w:noProof/>
          <w:lang w:eastAsia="fr-FR"/>
        </w:rPr>
        <w:drawing>
          <wp:inline distT="0" distB="0" distL="0" distR="0" wp14:anchorId="0A40CDD4" wp14:editId="7145F851">
            <wp:extent cx="4933950" cy="45910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933950" cy="4591050"/>
                    </a:xfrm>
                    <a:prstGeom prst="rect">
                      <a:avLst/>
                    </a:prstGeom>
                  </pic:spPr>
                </pic:pic>
              </a:graphicData>
            </a:graphic>
          </wp:inline>
        </w:drawing>
      </w:r>
    </w:p>
    <w:p w14:paraId="0C6D37CC" w14:textId="77777777" w:rsidR="00FF0998" w:rsidRDefault="00FF0998" w:rsidP="00E47614">
      <w:pPr>
        <w:jc w:val="center"/>
        <w:rPr>
          <w:b/>
          <w:sz w:val="28"/>
          <w:szCs w:val="28"/>
        </w:rPr>
      </w:pPr>
    </w:p>
    <w:p w14:paraId="54999376" w14:textId="77777777" w:rsidR="00FF0998" w:rsidRDefault="00FF0998" w:rsidP="00E47614">
      <w:pPr>
        <w:jc w:val="center"/>
        <w:rPr>
          <w:b/>
          <w:sz w:val="28"/>
          <w:szCs w:val="28"/>
        </w:rPr>
      </w:pPr>
    </w:p>
    <w:p w14:paraId="1F741CC6" w14:textId="7749E97C" w:rsidR="00B62CF2" w:rsidRDefault="00BA0E09" w:rsidP="00B62CF2">
      <w:pPr>
        <w:rPr>
          <w:b/>
          <w:sz w:val="28"/>
          <w:szCs w:val="28"/>
        </w:rPr>
      </w:pPr>
      <w:r>
        <w:rPr>
          <w:b/>
          <w:sz w:val="28"/>
          <w:szCs w:val="28"/>
        </w:rPr>
        <w:t>*</w:t>
      </w:r>
      <w:r w:rsidRPr="00BA0E09">
        <w:rPr>
          <w:sz w:val="20"/>
          <w:szCs w:val="20"/>
        </w:rPr>
        <w:t>Institut français d’</w:t>
      </w:r>
      <w:r>
        <w:rPr>
          <w:sz w:val="20"/>
          <w:szCs w:val="20"/>
        </w:rPr>
        <w:t>éducation :</w:t>
      </w:r>
      <w:r w:rsidRPr="00BA0E09">
        <w:rPr>
          <w:sz w:val="20"/>
          <w:szCs w:val="20"/>
        </w:rPr>
        <w:t xml:space="preserve"> </w:t>
      </w:r>
      <w:hyperlink r:id="rId8" w:history="1">
        <w:r w:rsidR="000B67A0" w:rsidRPr="0093514E">
          <w:rPr>
            <w:rStyle w:val="Lienhypertexte"/>
            <w:sz w:val="20"/>
            <w:szCs w:val="20"/>
          </w:rPr>
          <w:t>http://neo.ens-lyon.fr/neo/formation/analyse/les-postures-enseignantes</w:t>
        </w:r>
      </w:hyperlink>
      <w:r w:rsidR="000B67A0">
        <w:rPr>
          <w:sz w:val="20"/>
          <w:szCs w:val="20"/>
        </w:rPr>
        <w:t xml:space="preserve"> </w:t>
      </w:r>
      <w:bookmarkStart w:id="0" w:name="_GoBack"/>
      <w:bookmarkEnd w:id="0"/>
    </w:p>
    <w:p w14:paraId="27EB1668" w14:textId="77777777" w:rsidR="004D53ED" w:rsidRDefault="004D53ED" w:rsidP="00B62CF2">
      <w:pPr>
        <w:rPr>
          <w:b/>
          <w:sz w:val="28"/>
          <w:szCs w:val="28"/>
        </w:rPr>
      </w:pPr>
    </w:p>
    <w:p w14:paraId="0A72A071" w14:textId="410A1859" w:rsidR="00E47614" w:rsidRPr="00DF5CEB" w:rsidRDefault="00E47614" w:rsidP="00DF5CEB">
      <w:pPr>
        <w:pStyle w:val="Paragraphedeliste"/>
        <w:numPr>
          <w:ilvl w:val="0"/>
          <w:numId w:val="23"/>
        </w:numPr>
        <w:rPr>
          <w:b/>
        </w:rPr>
      </w:pPr>
      <w:r w:rsidRPr="00DF5CEB">
        <w:rPr>
          <w:b/>
        </w:rPr>
        <w:t>Connaissances, capacités et attitudes visées</w:t>
      </w:r>
    </w:p>
    <w:tbl>
      <w:tblPr>
        <w:tblStyle w:val="Grilledutableau"/>
        <w:tblW w:w="0" w:type="auto"/>
        <w:tblLook w:val="04A0" w:firstRow="1" w:lastRow="0" w:firstColumn="1" w:lastColumn="0" w:noHBand="0" w:noVBand="1"/>
      </w:tblPr>
      <w:tblGrid>
        <w:gridCol w:w="3823"/>
        <w:gridCol w:w="3656"/>
        <w:gridCol w:w="2977"/>
      </w:tblGrid>
      <w:tr w:rsidR="009649B5" w:rsidRPr="002F2FF4" w14:paraId="641D5339" w14:textId="77777777" w:rsidTr="00EB793E">
        <w:tc>
          <w:tcPr>
            <w:tcW w:w="3823" w:type="dxa"/>
          </w:tcPr>
          <w:p w14:paraId="6A81D628" w14:textId="77777777" w:rsidR="00913FAD" w:rsidRPr="00DF5CEB" w:rsidRDefault="00913FAD" w:rsidP="000A73A6">
            <w:pPr>
              <w:jc w:val="center"/>
              <w:rPr>
                <w:b/>
                <w:color w:val="FF0000"/>
                <w:sz w:val="16"/>
                <w:szCs w:val="16"/>
              </w:rPr>
            </w:pPr>
            <w:r w:rsidRPr="00DF5CEB">
              <w:rPr>
                <w:b/>
                <w:color w:val="FF0000"/>
                <w:sz w:val="16"/>
                <w:szCs w:val="16"/>
              </w:rPr>
              <w:t>Français</w:t>
            </w:r>
          </w:p>
        </w:tc>
        <w:tc>
          <w:tcPr>
            <w:tcW w:w="3656" w:type="dxa"/>
          </w:tcPr>
          <w:p w14:paraId="515F1BF6" w14:textId="51D35503" w:rsidR="00913FAD" w:rsidRPr="00DF5CEB" w:rsidRDefault="00913FAD" w:rsidP="000A73A6">
            <w:pPr>
              <w:jc w:val="center"/>
              <w:rPr>
                <w:b/>
                <w:color w:val="FF0000"/>
                <w:sz w:val="16"/>
                <w:szCs w:val="16"/>
              </w:rPr>
            </w:pPr>
            <w:r w:rsidRPr="00DF5CEB">
              <w:rPr>
                <w:b/>
                <w:color w:val="FF0000"/>
                <w:sz w:val="16"/>
                <w:szCs w:val="16"/>
              </w:rPr>
              <w:t>Histoire</w:t>
            </w:r>
          </w:p>
        </w:tc>
        <w:tc>
          <w:tcPr>
            <w:tcW w:w="2977" w:type="dxa"/>
          </w:tcPr>
          <w:p w14:paraId="1201A4D6" w14:textId="41A42653" w:rsidR="00913FAD" w:rsidRPr="00913FAD" w:rsidRDefault="00913FAD" w:rsidP="000A73A6">
            <w:pPr>
              <w:jc w:val="center"/>
              <w:rPr>
                <w:b/>
                <w:color w:val="FF0000"/>
                <w:sz w:val="16"/>
                <w:szCs w:val="16"/>
              </w:rPr>
            </w:pPr>
            <w:r w:rsidRPr="00913FAD">
              <w:rPr>
                <w:b/>
                <w:color w:val="FF0000"/>
                <w:sz w:val="16"/>
                <w:szCs w:val="16"/>
              </w:rPr>
              <w:t>EMC</w:t>
            </w:r>
          </w:p>
        </w:tc>
      </w:tr>
      <w:tr w:rsidR="00913FAD" w:rsidRPr="002F2FF4" w14:paraId="4E84DA97" w14:textId="77777777" w:rsidTr="00913FAD">
        <w:tc>
          <w:tcPr>
            <w:tcW w:w="10456" w:type="dxa"/>
            <w:gridSpan w:val="3"/>
          </w:tcPr>
          <w:p w14:paraId="540E955C" w14:textId="48C09617" w:rsidR="00913FAD" w:rsidRPr="00DF5CEB" w:rsidRDefault="00913FAD" w:rsidP="000A73A6">
            <w:pPr>
              <w:jc w:val="center"/>
              <w:rPr>
                <w:b/>
                <w:color w:val="215868" w:themeColor="accent5" w:themeShade="80"/>
                <w:sz w:val="16"/>
                <w:szCs w:val="16"/>
              </w:rPr>
            </w:pPr>
            <w:r w:rsidRPr="00DF5CEB">
              <w:rPr>
                <w:rFonts w:cs="Arial"/>
                <w:b/>
                <w:bCs/>
                <w:color w:val="215868" w:themeColor="accent5" w:themeShade="80"/>
                <w:sz w:val="16"/>
                <w:szCs w:val="16"/>
                <w:shd w:val="clear" w:color="auto" w:fill="FFFFFF"/>
              </w:rPr>
              <w:t>Domaine 1 : les langages pour penser et communiquer</w:t>
            </w:r>
          </w:p>
        </w:tc>
      </w:tr>
      <w:tr w:rsidR="00913FAD" w:rsidRPr="002F2FF4" w14:paraId="573750D1" w14:textId="77777777" w:rsidTr="006B4E89">
        <w:trPr>
          <w:trHeight w:val="2882"/>
        </w:trPr>
        <w:tc>
          <w:tcPr>
            <w:tcW w:w="10456" w:type="dxa"/>
            <w:gridSpan w:val="3"/>
            <w:tcBorders>
              <w:bottom w:val="single" w:sz="4" w:space="0" w:color="auto"/>
            </w:tcBorders>
          </w:tcPr>
          <w:p w14:paraId="39174FB5" w14:textId="750F68EE" w:rsidR="00913FAD" w:rsidRPr="00DF5CEB" w:rsidRDefault="00913FAD" w:rsidP="00C108A1">
            <w:pPr>
              <w:shd w:val="clear" w:color="auto" w:fill="FFFFFF"/>
              <w:rPr>
                <w:rFonts w:eastAsia="Times New Roman" w:cs="Arial"/>
                <w:color w:val="215868" w:themeColor="accent5" w:themeShade="80"/>
                <w:sz w:val="16"/>
                <w:szCs w:val="16"/>
                <w:lang w:eastAsia="fr-FR"/>
              </w:rPr>
            </w:pPr>
            <w:r w:rsidRPr="00DF5CEB">
              <w:rPr>
                <w:rFonts w:eastAsia="Times New Roman" w:cs="Arial"/>
                <w:b/>
                <w:bCs/>
                <w:color w:val="215868" w:themeColor="accent5" w:themeShade="80"/>
                <w:sz w:val="16"/>
                <w:szCs w:val="16"/>
                <w:lang w:eastAsia="fr-FR"/>
              </w:rPr>
              <w:t>Compétences langagières, orales et écrites</w:t>
            </w:r>
          </w:p>
          <w:p w14:paraId="4E59A2ED" w14:textId="15754D14" w:rsidR="00913FAD" w:rsidRDefault="00913FAD" w:rsidP="00C108A1">
            <w:pPr>
              <w:shd w:val="clear" w:color="auto" w:fill="FFFFFF"/>
              <w:rPr>
                <w:rFonts w:eastAsia="Times New Roman" w:cs="Arial"/>
                <w:b/>
                <w:bCs/>
                <w:color w:val="215868" w:themeColor="accent5" w:themeShade="80"/>
                <w:sz w:val="16"/>
                <w:szCs w:val="16"/>
                <w:lang w:eastAsia="fr-FR"/>
              </w:rPr>
            </w:pPr>
            <w:r w:rsidRPr="00DF5CEB">
              <w:rPr>
                <w:rFonts w:eastAsia="Times New Roman" w:cs="Arial"/>
                <w:b/>
                <w:bCs/>
                <w:color w:val="215868" w:themeColor="accent5" w:themeShade="80"/>
                <w:sz w:val="16"/>
                <w:szCs w:val="16"/>
                <w:lang w:eastAsia="fr-FR"/>
              </w:rPr>
              <w:t>Langage oral</w:t>
            </w:r>
          </w:p>
          <w:p w14:paraId="3AB495EF" w14:textId="77777777" w:rsidR="00DF5CEB" w:rsidRDefault="00DF5CEB" w:rsidP="00DF5CEB">
            <w:pPr>
              <w:shd w:val="clear" w:color="auto" w:fill="FFFFFF"/>
              <w:rPr>
                <w:rFonts w:eastAsia="Times New Roman" w:cs="Arial"/>
                <w:bCs/>
                <w:sz w:val="16"/>
                <w:szCs w:val="16"/>
                <w:lang w:eastAsia="fr-FR"/>
              </w:rPr>
            </w:pPr>
            <w:r w:rsidRPr="00DF5CEB">
              <w:rPr>
                <w:rFonts w:eastAsia="Times New Roman" w:cs="Arial"/>
                <w:bCs/>
                <w:sz w:val="16"/>
                <w:szCs w:val="16"/>
                <w:lang w:eastAsia="fr-FR"/>
              </w:rPr>
              <w:t>Exprimer ses sensations, ses sentiments, formuler un avis personnel à propos d'une situation</w:t>
            </w:r>
          </w:p>
          <w:p w14:paraId="79B36170" w14:textId="3CE8B868" w:rsidR="00DF5CEB" w:rsidRPr="00DF5CEB" w:rsidRDefault="00DF5CEB" w:rsidP="00DF5CEB">
            <w:pPr>
              <w:shd w:val="clear" w:color="auto" w:fill="FFFFFF"/>
              <w:rPr>
                <w:rFonts w:eastAsia="Times New Roman" w:cs="Arial"/>
                <w:bCs/>
                <w:sz w:val="16"/>
                <w:szCs w:val="16"/>
                <w:lang w:eastAsia="fr-FR"/>
              </w:rPr>
            </w:pPr>
            <w:r w:rsidRPr="00DF5CEB">
              <w:rPr>
                <w:rFonts w:eastAsia="Times New Roman" w:cs="Arial"/>
                <w:bCs/>
                <w:sz w:val="16"/>
                <w:szCs w:val="16"/>
                <w:lang w:eastAsia="fr-FR"/>
              </w:rPr>
              <w:t>Emploi d'un vocabulaire précis et étendu.</w:t>
            </w:r>
            <w:r w:rsidRPr="00DF5CEB">
              <w:rPr>
                <w:rFonts w:eastAsia="Times New Roman" w:cs="Arial"/>
                <w:bCs/>
                <w:sz w:val="16"/>
                <w:szCs w:val="16"/>
                <w:lang w:eastAsia="fr-FR"/>
              </w:rPr>
              <w:tab/>
            </w:r>
          </w:p>
          <w:p w14:paraId="71ADFE52" w14:textId="77777777" w:rsidR="00DF5CEB" w:rsidRPr="00DF5CEB" w:rsidRDefault="00DF5CEB" w:rsidP="00DF5CEB">
            <w:pPr>
              <w:shd w:val="clear" w:color="auto" w:fill="FFFFFF"/>
              <w:rPr>
                <w:rFonts w:eastAsia="Times New Roman" w:cs="Arial"/>
                <w:bCs/>
                <w:sz w:val="16"/>
                <w:szCs w:val="16"/>
                <w:lang w:eastAsia="fr-FR"/>
              </w:rPr>
            </w:pPr>
            <w:r w:rsidRPr="00DF5CEB">
              <w:rPr>
                <w:rFonts w:eastAsia="Times New Roman" w:cs="Arial"/>
                <w:bCs/>
                <w:sz w:val="16"/>
                <w:szCs w:val="16"/>
                <w:lang w:eastAsia="fr-FR"/>
              </w:rPr>
              <w:t>Participer de façon constructive à des échanges oraux</w:t>
            </w:r>
          </w:p>
          <w:p w14:paraId="3B027AB6" w14:textId="77777777" w:rsidR="00DF5CEB" w:rsidRPr="00DF5CEB" w:rsidRDefault="00DF5CEB" w:rsidP="00DF5CEB">
            <w:pPr>
              <w:shd w:val="clear" w:color="auto" w:fill="FFFFFF"/>
              <w:rPr>
                <w:rFonts w:eastAsia="Times New Roman" w:cs="Arial"/>
                <w:bCs/>
                <w:sz w:val="16"/>
                <w:szCs w:val="16"/>
                <w:lang w:eastAsia="fr-FR"/>
              </w:rPr>
            </w:pPr>
            <w:r w:rsidRPr="00DF5CEB">
              <w:rPr>
                <w:rFonts w:eastAsia="Times New Roman" w:cs="Arial"/>
                <w:bCs/>
                <w:sz w:val="16"/>
                <w:szCs w:val="16"/>
                <w:lang w:eastAsia="fr-FR"/>
              </w:rPr>
              <w:t>Interagir avec autrui dans un échange, une conversation, une situation de recherche</w:t>
            </w:r>
          </w:p>
          <w:p w14:paraId="692A79BF" w14:textId="77777777" w:rsidR="00DF5CEB" w:rsidRPr="00DF5CEB" w:rsidRDefault="00DF5CEB" w:rsidP="00DF5CEB">
            <w:pPr>
              <w:shd w:val="clear" w:color="auto" w:fill="FFFFFF"/>
              <w:rPr>
                <w:rFonts w:eastAsia="Times New Roman" w:cs="Arial"/>
                <w:bCs/>
                <w:sz w:val="16"/>
                <w:szCs w:val="16"/>
                <w:lang w:eastAsia="fr-FR"/>
              </w:rPr>
            </w:pPr>
            <w:r w:rsidRPr="00DF5CEB">
              <w:rPr>
                <w:rFonts w:eastAsia="Times New Roman" w:cs="Arial"/>
                <w:bCs/>
                <w:sz w:val="16"/>
                <w:szCs w:val="16"/>
                <w:lang w:eastAsia="fr-FR"/>
              </w:rPr>
              <w:t>Connaissance des codes de la conversation en situation publique, des usages de la politesse.</w:t>
            </w:r>
            <w:r w:rsidRPr="00DF5CEB">
              <w:rPr>
                <w:rFonts w:eastAsia="Times New Roman" w:cs="Arial"/>
                <w:bCs/>
                <w:sz w:val="16"/>
                <w:szCs w:val="16"/>
                <w:lang w:eastAsia="fr-FR"/>
              </w:rPr>
              <w:tab/>
            </w:r>
          </w:p>
          <w:p w14:paraId="3A95EC53" w14:textId="533BE291" w:rsidR="00913FAD" w:rsidRPr="00DF5CEB" w:rsidRDefault="00913FAD" w:rsidP="00400001">
            <w:pPr>
              <w:shd w:val="clear" w:color="auto" w:fill="FFFFFF" w:themeFill="background1"/>
              <w:rPr>
                <w:rFonts w:eastAsia="Times New Roman" w:cs="Arial"/>
                <w:color w:val="215868" w:themeColor="accent5" w:themeShade="80"/>
                <w:sz w:val="16"/>
                <w:szCs w:val="16"/>
                <w:lang w:eastAsia="fr-FR"/>
              </w:rPr>
            </w:pPr>
          </w:p>
          <w:p w14:paraId="68C477A7" w14:textId="77777777" w:rsidR="00913FAD" w:rsidRPr="00DF5CEB" w:rsidRDefault="00913FAD" w:rsidP="00400001">
            <w:pPr>
              <w:pStyle w:val="NormalWeb"/>
              <w:shd w:val="clear" w:color="auto" w:fill="FFFFFF" w:themeFill="background1"/>
              <w:spacing w:before="0" w:beforeAutospacing="0" w:after="0" w:afterAutospacing="0"/>
              <w:rPr>
                <w:rFonts w:asciiTheme="minorHAnsi" w:hAnsiTheme="minorHAnsi" w:cs="Arial"/>
                <w:color w:val="215868" w:themeColor="accent5" w:themeShade="80"/>
                <w:sz w:val="16"/>
                <w:szCs w:val="16"/>
              </w:rPr>
            </w:pPr>
            <w:r w:rsidRPr="00DF5CEB">
              <w:rPr>
                <w:rFonts w:asciiTheme="minorHAnsi" w:hAnsiTheme="minorHAnsi" w:cs="Arial"/>
                <w:b/>
                <w:bCs/>
                <w:color w:val="215868" w:themeColor="accent5" w:themeShade="80"/>
                <w:sz w:val="16"/>
                <w:szCs w:val="16"/>
              </w:rPr>
              <w:t>Adopter des stratégies et des procédures d'écriture efficaces</w:t>
            </w:r>
          </w:p>
          <w:p w14:paraId="542F385A" w14:textId="708E80EE" w:rsidR="00913FAD" w:rsidRPr="00DF5CEB" w:rsidRDefault="00913FAD" w:rsidP="00400001">
            <w:pPr>
              <w:pStyle w:val="NormalWeb"/>
              <w:shd w:val="clear" w:color="auto" w:fill="FFFFFF" w:themeFill="background1"/>
              <w:spacing w:before="0" w:beforeAutospacing="0" w:after="0" w:afterAutospacing="0"/>
              <w:rPr>
                <w:rFonts w:asciiTheme="minorHAnsi" w:hAnsiTheme="minorHAnsi" w:cs="Arial"/>
                <w:color w:val="000000"/>
                <w:sz w:val="16"/>
                <w:szCs w:val="16"/>
              </w:rPr>
            </w:pPr>
            <w:r w:rsidRPr="00DF5CEB">
              <w:rPr>
                <w:rFonts w:asciiTheme="minorHAnsi" w:hAnsiTheme="minorHAnsi" w:cs="Arial"/>
                <w:color w:val="000000"/>
                <w:sz w:val="16"/>
                <w:szCs w:val="16"/>
              </w:rPr>
              <w:t>Prise en compte du destinataire, des visées du texte et des caractéristiques de son genre et du support d'écriture dès la préparation de l'écrit et jusqu'à la relecture ultime.</w:t>
            </w:r>
          </w:p>
          <w:p w14:paraId="3291CA1C" w14:textId="155F8ECA" w:rsidR="00913FAD" w:rsidRPr="00DF5CEB" w:rsidRDefault="00913FAD" w:rsidP="00400001">
            <w:pPr>
              <w:pStyle w:val="NormalWeb"/>
              <w:shd w:val="clear" w:color="auto" w:fill="FFFFFF" w:themeFill="background1"/>
              <w:spacing w:before="0" w:beforeAutospacing="0" w:after="0" w:afterAutospacing="0"/>
              <w:rPr>
                <w:rFonts w:asciiTheme="minorHAnsi" w:hAnsiTheme="minorHAnsi" w:cs="Arial"/>
                <w:color w:val="000000"/>
                <w:sz w:val="16"/>
                <w:szCs w:val="16"/>
              </w:rPr>
            </w:pPr>
            <w:r w:rsidRPr="00DF5CEB">
              <w:rPr>
                <w:rFonts w:asciiTheme="minorHAnsi" w:hAnsiTheme="minorHAnsi" w:cs="Arial"/>
                <w:color w:val="000000"/>
                <w:sz w:val="16"/>
                <w:szCs w:val="16"/>
              </w:rPr>
              <w:t>Stratégies permettant de trouver des idées ou des éléments du texte à produire.</w:t>
            </w:r>
          </w:p>
          <w:p w14:paraId="0280F335" w14:textId="16CC8BEE" w:rsidR="00913FAD" w:rsidRPr="00DF5CEB" w:rsidRDefault="00913FAD" w:rsidP="00400001">
            <w:pPr>
              <w:pStyle w:val="NormalWeb"/>
              <w:shd w:val="clear" w:color="auto" w:fill="FFFFFF" w:themeFill="background1"/>
              <w:spacing w:before="0" w:beforeAutospacing="0" w:after="0" w:afterAutospacing="0"/>
              <w:rPr>
                <w:rFonts w:asciiTheme="minorHAnsi" w:hAnsiTheme="minorHAnsi" w:cs="Arial"/>
                <w:color w:val="000000"/>
                <w:sz w:val="16"/>
                <w:szCs w:val="16"/>
              </w:rPr>
            </w:pPr>
            <w:r w:rsidRPr="00DF5CEB">
              <w:rPr>
                <w:rFonts w:asciiTheme="minorHAnsi" w:hAnsiTheme="minorHAnsi" w:cs="Arial"/>
                <w:color w:val="000000"/>
                <w:sz w:val="16"/>
                <w:szCs w:val="16"/>
              </w:rPr>
              <w:t>Organisation de l'écrit en fonction des règles propres au genre du te</w:t>
            </w:r>
            <w:r w:rsidR="006B4E89">
              <w:rPr>
                <w:rFonts w:asciiTheme="minorHAnsi" w:hAnsiTheme="minorHAnsi" w:cs="Arial"/>
                <w:color w:val="000000"/>
                <w:sz w:val="16"/>
                <w:szCs w:val="16"/>
              </w:rPr>
              <w:t>xte à produire et à son support</w:t>
            </w:r>
          </w:p>
          <w:p w14:paraId="27FEF6E5" w14:textId="20ED9D3E" w:rsidR="00913FAD" w:rsidRPr="00DF5CEB" w:rsidRDefault="00913FAD" w:rsidP="00400001">
            <w:pPr>
              <w:pStyle w:val="NormalWeb"/>
              <w:shd w:val="clear" w:color="auto" w:fill="FFFFFF" w:themeFill="background1"/>
              <w:spacing w:before="0" w:beforeAutospacing="0" w:after="0" w:afterAutospacing="0"/>
              <w:rPr>
                <w:rFonts w:asciiTheme="minorHAnsi" w:hAnsiTheme="minorHAnsi" w:cs="Arial"/>
                <w:color w:val="000000"/>
                <w:sz w:val="16"/>
                <w:szCs w:val="16"/>
              </w:rPr>
            </w:pPr>
            <w:r w:rsidRPr="00DF5CEB">
              <w:rPr>
                <w:rFonts w:asciiTheme="minorHAnsi" w:hAnsiTheme="minorHAnsi" w:cs="Arial"/>
                <w:color w:val="000000"/>
                <w:sz w:val="16"/>
                <w:szCs w:val="16"/>
              </w:rPr>
              <w:t>Vérification et amélioration de la qualité du texte, en cours d'écriture, lors de la relecture et</w:t>
            </w:r>
            <w:r w:rsidRPr="00DF5CEB">
              <w:rPr>
                <w:rStyle w:val="apple-converted-space"/>
                <w:rFonts w:asciiTheme="minorHAnsi" w:hAnsiTheme="minorHAnsi" w:cs="Arial"/>
                <w:color w:val="000000"/>
                <w:sz w:val="16"/>
                <w:szCs w:val="16"/>
              </w:rPr>
              <w:t> </w:t>
            </w:r>
            <w:r w:rsidRPr="00DF5CEB">
              <w:rPr>
                <w:rFonts w:asciiTheme="minorHAnsi" w:hAnsiTheme="minorHAnsi" w:cs="Arial"/>
                <w:i/>
                <w:iCs/>
                <w:color w:val="000000"/>
                <w:sz w:val="16"/>
                <w:szCs w:val="16"/>
              </w:rPr>
              <w:t>a posteriori</w:t>
            </w:r>
            <w:r w:rsidRPr="00DF5CEB">
              <w:rPr>
                <w:rFonts w:asciiTheme="minorHAnsi" w:hAnsiTheme="minorHAnsi" w:cs="Arial"/>
                <w:color w:val="000000"/>
                <w:sz w:val="16"/>
                <w:szCs w:val="16"/>
              </w:rPr>
              <w:t>.</w:t>
            </w:r>
          </w:p>
          <w:p w14:paraId="3DFABD27" w14:textId="4020EE05" w:rsidR="00913FAD" w:rsidRPr="00DF5CEB" w:rsidRDefault="00913FAD" w:rsidP="00400001">
            <w:pPr>
              <w:rPr>
                <w:rFonts w:cs="Arial"/>
                <w:color w:val="000000"/>
                <w:sz w:val="16"/>
                <w:szCs w:val="16"/>
                <w:shd w:val="clear" w:color="auto" w:fill="FFFFFF"/>
              </w:rPr>
            </w:pPr>
          </w:p>
        </w:tc>
      </w:tr>
      <w:tr w:rsidR="009649B5" w:rsidRPr="002F2FF4" w14:paraId="3B433AEB" w14:textId="5EE5E65E" w:rsidTr="006B4E89">
        <w:trPr>
          <w:trHeight w:val="1999"/>
        </w:trPr>
        <w:tc>
          <w:tcPr>
            <w:tcW w:w="3823" w:type="dxa"/>
            <w:tcBorders>
              <w:bottom w:val="single" w:sz="4" w:space="0" w:color="auto"/>
            </w:tcBorders>
          </w:tcPr>
          <w:p w14:paraId="0E2FB4B3" w14:textId="5FD0133E" w:rsidR="00913FAD" w:rsidRDefault="00913FAD" w:rsidP="00400001">
            <w:pPr>
              <w:pStyle w:val="NormalWeb"/>
              <w:shd w:val="clear" w:color="auto" w:fill="FFFFFF" w:themeFill="background1"/>
              <w:spacing w:before="0" w:beforeAutospacing="0" w:after="0" w:afterAutospacing="0"/>
              <w:rPr>
                <w:rFonts w:asciiTheme="minorHAnsi" w:hAnsiTheme="minorHAnsi" w:cs="Arial"/>
                <w:b/>
                <w:bCs/>
                <w:color w:val="215868" w:themeColor="accent5" w:themeShade="80"/>
                <w:sz w:val="16"/>
                <w:szCs w:val="16"/>
              </w:rPr>
            </w:pPr>
            <w:r w:rsidRPr="00DF5CEB">
              <w:rPr>
                <w:rFonts w:asciiTheme="minorHAnsi" w:hAnsiTheme="minorHAnsi" w:cs="Arial"/>
                <w:b/>
                <w:bCs/>
                <w:color w:val="215868" w:themeColor="accent5" w:themeShade="80"/>
                <w:sz w:val="16"/>
                <w:szCs w:val="16"/>
              </w:rPr>
              <w:t>Exploiter des lectures pour enrichir son écrit</w:t>
            </w:r>
          </w:p>
          <w:p w14:paraId="4C7F2058" w14:textId="77777777" w:rsidR="006B4E89" w:rsidRPr="00DF5CEB" w:rsidRDefault="006B4E89" w:rsidP="00400001">
            <w:pPr>
              <w:pStyle w:val="NormalWeb"/>
              <w:shd w:val="clear" w:color="auto" w:fill="FFFFFF" w:themeFill="background1"/>
              <w:spacing w:before="0" w:beforeAutospacing="0" w:after="0" w:afterAutospacing="0"/>
              <w:rPr>
                <w:rFonts w:asciiTheme="minorHAnsi" w:hAnsiTheme="minorHAnsi" w:cs="Arial"/>
                <w:color w:val="215868" w:themeColor="accent5" w:themeShade="80"/>
                <w:sz w:val="16"/>
                <w:szCs w:val="16"/>
              </w:rPr>
            </w:pPr>
          </w:p>
          <w:p w14:paraId="1AA48B38" w14:textId="77777777" w:rsidR="00913FAD" w:rsidRPr="00DF5CEB" w:rsidRDefault="00913FAD" w:rsidP="00400001">
            <w:pPr>
              <w:pStyle w:val="NormalWeb"/>
              <w:spacing w:before="0" w:beforeAutospacing="0" w:after="0" w:afterAutospacing="0"/>
              <w:rPr>
                <w:rFonts w:asciiTheme="minorHAnsi" w:hAnsiTheme="minorHAnsi" w:cs="Arial"/>
                <w:b/>
                <w:color w:val="000000"/>
                <w:sz w:val="16"/>
                <w:szCs w:val="16"/>
              </w:rPr>
            </w:pPr>
            <w:r w:rsidRPr="00DF5CEB">
              <w:rPr>
                <w:rFonts w:asciiTheme="minorHAnsi" w:hAnsiTheme="minorHAnsi" w:cs="Arial"/>
                <w:b/>
                <w:color w:val="215868" w:themeColor="accent5" w:themeShade="80"/>
                <w:sz w:val="16"/>
                <w:szCs w:val="16"/>
              </w:rPr>
              <w:t>Lire des œuvres littéraires</w:t>
            </w:r>
          </w:p>
          <w:p w14:paraId="3D8F0529" w14:textId="77777777" w:rsidR="00913FAD" w:rsidRPr="00DF5CEB" w:rsidRDefault="00913FAD" w:rsidP="00400001">
            <w:pPr>
              <w:rPr>
                <w:rFonts w:cs="Arial"/>
                <w:b/>
                <w:bCs/>
                <w:color w:val="000000"/>
                <w:sz w:val="16"/>
                <w:szCs w:val="16"/>
                <w:shd w:val="clear" w:color="auto" w:fill="E8F3F4"/>
              </w:rPr>
            </w:pPr>
          </w:p>
          <w:p w14:paraId="32C5D548" w14:textId="77777777" w:rsidR="00913FAD" w:rsidRPr="00DF5CEB" w:rsidRDefault="00913FAD" w:rsidP="00400001">
            <w:pPr>
              <w:rPr>
                <w:rFonts w:cs="Arial"/>
                <w:b/>
                <w:bCs/>
                <w:color w:val="215868" w:themeColor="accent5" w:themeShade="80"/>
                <w:sz w:val="16"/>
                <w:szCs w:val="16"/>
                <w:shd w:val="clear" w:color="auto" w:fill="FFFFFF"/>
              </w:rPr>
            </w:pPr>
            <w:r w:rsidRPr="00DF5CEB">
              <w:rPr>
                <w:rFonts w:cs="Arial"/>
                <w:b/>
                <w:bCs/>
                <w:color w:val="215868" w:themeColor="accent5" w:themeShade="80"/>
                <w:sz w:val="16"/>
                <w:szCs w:val="16"/>
                <w:shd w:val="clear" w:color="auto" w:fill="FFFFFF"/>
              </w:rPr>
              <w:t>Compétences linguistiques : étude de la langue (grammaire, orthographe, lexique)</w:t>
            </w:r>
          </w:p>
          <w:p w14:paraId="0A65CC7E" w14:textId="77777777" w:rsidR="00913FAD" w:rsidRPr="00DF5CEB" w:rsidRDefault="00913FAD" w:rsidP="00400001">
            <w:pPr>
              <w:rPr>
                <w:rFonts w:cs="Arial"/>
                <w:color w:val="000000"/>
                <w:sz w:val="16"/>
                <w:szCs w:val="16"/>
                <w:shd w:val="clear" w:color="auto" w:fill="FFFFFF"/>
              </w:rPr>
            </w:pPr>
          </w:p>
          <w:p w14:paraId="7E62AD20" w14:textId="77777777" w:rsidR="00913FAD" w:rsidRPr="00DF5CEB" w:rsidRDefault="00913FAD" w:rsidP="00400001">
            <w:pPr>
              <w:rPr>
                <w:rFonts w:cs="Arial"/>
                <w:b/>
                <w:bCs/>
                <w:color w:val="215868" w:themeColor="accent5" w:themeShade="80"/>
                <w:sz w:val="16"/>
                <w:szCs w:val="16"/>
                <w:shd w:val="clear" w:color="auto" w:fill="FFFFFF"/>
              </w:rPr>
            </w:pPr>
            <w:r w:rsidRPr="00DF5CEB">
              <w:rPr>
                <w:rFonts w:cs="Arial"/>
                <w:b/>
                <w:bCs/>
                <w:color w:val="215868" w:themeColor="accent5" w:themeShade="80"/>
                <w:sz w:val="16"/>
                <w:szCs w:val="16"/>
                <w:shd w:val="clear" w:color="auto" w:fill="FFFFFF"/>
              </w:rPr>
              <w:t>Culture littéraire et artistique</w:t>
            </w:r>
          </w:p>
          <w:p w14:paraId="39382DD6" w14:textId="77777777" w:rsidR="00913FAD" w:rsidRPr="00DF5CEB" w:rsidRDefault="00913FAD" w:rsidP="006B4E89">
            <w:pPr>
              <w:rPr>
                <w:rFonts w:eastAsia="Times New Roman" w:cs="Arial"/>
                <w:b/>
                <w:bCs/>
                <w:color w:val="215868" w:themeColor="accent5" w:themeShade="80"/>
                <w:sz w:val="16"/>
                <w:szCs w:val="16"/>
                <w:lang w:eastAsia="fr-FR"/>
              </w:rPr>
            </w:pPr>
          </w:p>
        </w:tc>
        <w:tc>
          <w:tcPr>
            <w:tcW w:w="3656" w:type="dxa"/>
            <w:tcBorders>
              <w:bottom w:val="single" w:sz="4" w:space="0" w:color="auto"/>
            </w:tcBorders>
          </w:tcPr>
          <w:p w14:paraId="751416B7" w14:textId="788A3543" w:rsidR="00913FAD" w:rsidRPr="00DF5CEB" w:rsidRDefault="00913FAD" w:rsidP="00913FAD">
            <w:pPr>
              <w:rPr>
                <w:color w:val="31849B" w:themeColor="accent5" w:themeShade="BF"/>
                <w:sz w:val="16"/>
                <w:szCs w:val="16"/>
              </w:rPr>
            </w:pPr>
            <w:r w:rsidRPr="00DF5CEB">
              <w:rPr>
                <w:rFonts w:eastAsia="Times New Roman" w:cs="Times New Roman"/>
                <w:b/>
                <w:bCs/>
                <w:color w:val="31849B" w:themeColor="accent5" w:themeShade="BF"/>
                <w:sz w:val="16"/>
                <w:szCs w:val="16"/>
                <w:lang w:eastAsia="fr-FR"/>
              </w:rPr>
              <w:t>Analyser et comprendre un document</w:t>
            </w:r>
            <w:r w:rsidR="006B4E89">
              <w:rPr>
                <w:rFonts w:eastAsia="Times New Roman" w:cs="Times New Roman"/>
                <w:b/>
                <w:bCs/>
                <w:color w:val="31849B" w:themeColor="accent5" w:themeShade="BF"/>
                <w:sz w:val="16"/>
                <w:szCs w:val="16"/>
                <w:lang w:eastAsia="fr-FR"/>
              </w:rPr>
              <w:t>, exercer son esprit critique</w:t>
            </w:r>
          </w:p>
          <w:p w14:paraId="39E5F04A" w14:textId="17393E51" w:rsidR="00913FAD" w:rsidRPr="00DF5CEB" w:rsidRDefault="00913FAD" w:rsidP="00913FAD">
            <w:pPr>
              <w:rPr>
                <w:rFonts w:eastAsia="Times New Roman" w:cs="Times New Roman"/>
                <w:sz w:val="16"/>
                <w:szCs w:val="16"/>
                <w:lang w:eastAsia="fr-FR"/>
              </w:rPr>
            </w:pPr>
          </w:p>
          <w:p w14:paraId="03DA2994" w14:textId="77777777" w:rsidR="00913FAD" w:rsidRPr="00DF5CEB" w:rsidRDefault="00913FAD" w:rsidP="00913FAD">
            <w:pPr>
              <w:rPr>
                <w:rFonts w:eastAsia="Times New Roman" w:cs="Times New Roman"/>
                <w:sz w:val="16"/>
                <w:szCs w:val="16"/>
                <w:lang w:eastAsia="fr-FR"/>
              </w:rPr>
            </w:pPr>
          </w:p>
          <w:p w14:paraId="454009F2" w14:textId="30D53E20" w:rsidR="00913FAD" w:rsidRPr="00DF5CEB" w:rsidRDefault="00913FAD" w:rsidP="00913FAD">
            <w:pPr>
              <w:rPr>
                <w:color w:val="31849B" w:themeColor="accent5" w:themeShade="BF"/>
                <w:sz w:val="16"/>
                <w:szCs w:val="16"/>
              </w:rPr>
            </w:pPr>
            <w:r w:rsidRPr="00DF5CEB">
              <w:rPr>
                <w:rFonts w:eastAsia="Times New Roman" w:cs="Times New Roman"/>
                <w:b/>
                <w:bCs/>
                <w:color w:val="31849B" w:themeColor="accent5" w:themeShade="BF"/>
                <w:sz w:val="16"/>
                <w:szCs w:val="16"/>
                <w:lang w:eastAsia="fr-FR"/>
              </w:rPr>
              <w:t>Pratiquer différents langa</w:t>
            </w:r>
            <w:r w:rsidR="006B4E89">
              <w:rPr>
                <w:rFonts w:eastAsia="Times New Roman" w:cs="Times New Roman"/>
                <w:b/>
                <w:bCs/>
                <w:color w:val="31849B" w:themeColor="accent5" w:themeShade="BF"/>
                <w:sz w:val="16"/>
                <w:szCs w:val="16"/>
                <w:lang w:eastAsia="fr-FR"/>
              </w:rPr>
              <w:t xml:space="preserve">ges en histoire </w:t>
            </w:r>
          </w:p>
          <w:p w14:paraId="44CA5232" w14:textId="6562E80F" w:rsidR="00913FAD" w:rsidRPr="00DF5CEB" w:rsidRDefault="00913FAD" w:rsidP="00913FAD">
            <w:pPr>
              <w:numPr>
                <w:ilvl w:val="0"/>
                <w:numId w:val="11"/>
              </w:numPr>
              <w:tabs>
                <w:tab w:val="left" w:pos="720"/>
              </w:tabs>
              <w:suppressAutoHyphens/>
              <w:autoSpaceDN w:val="0"/>
              <w:spacing w:before="100" w:after="100"/>
              <w:ind w:left="0"/>
              <w:textAlignment w:val="baseline"/>
              <w:rPr>
                <w:sz w:val="16"/>
                <w:szCs w:val="16"/>
              </w:rPr>
            </w:pPr>
          </w:p>
          <w:p w14:paraId="08D5FC2E" w14:textId="2F12E6CE" w:rsidR="00913FAD" w:rsidRPr="00DF5CEB" w:rsidRDefault="006B4E89" w:rsidP="006B4E89">
            <w:pPr>
              <w:rPr>
                <w:sz w:val="16"/>
                <w:szCs w:val="16"/>
              </w:rPr>
            </w:pPr>
            <w:r>
              <w:rPr>
                <w:rFonts w:eastAsia="Times New Roman" w:cs="Times New Roman"/>
                <w:b/>
                <w:bCs/>
                <w:color w:val="31849B" w:themeColor="accent5" w:themeShade="BF"/>
                <w:sz w:val="16"/>
                <w:szCs w:val="16"/>
                <w:lang w:eastAsia="fr-FR"/>
              </w:rPr>
              <w:t xml:space="preserve">Se repérer dans le temps : </w:t>
            </w:r>
            <w:r w:rsidR="00913FAD" w:rsidRPr="00DF5CEB">
              <w:rPr>
                <w:sz w:val="16"/>
                <w:szCs w:val="16"/>
              </w:rPr>
              <w:t xml:space="preserve"> l’époque des Lumières</w:t>
            </w:r>
          </w:p>
          <w:p w14:paraId="3BDC8850" w14:textId="29443D07" w:rsidR="00913FAD" w:rsidRPr="00DF5CEB" w:rsidRDefault="00913FAD" w:rsidP="00913FAD">
            <w:pPr>
              <w:rPr>
                <w:rFonts w:eastAsia="Times New Roman" w:cs="Arial"/>
                <w:b/>
                <w:bCs/>
                <w:color w:val="215868" w:themeColor="accent5" w:themeShade="80"/>
                <w:sz w:val="16"/>
                <w:szCs w:val="16"/>
                <w:lang w:eastAsia="fr-FR"/>
              </w:rPr>
            </w:pPr>
          </w:p>
        </w:tc>
        <w:tc>
          <w:tcPr>
            <w:tcW w:w="2977" w:type="dxa"/>
            <w:tcBorders>
              <w:bottom w:val="single" w:sz="4" w:space="0" w:color="auto"/>
            </w:tcBorders>
          </w:tcPr>
          <w:p w14:paraId="4E099EF3" w14:textId="51D38D32" w:rsidR="00913FAD" w:rsidRPr="00913FAD" w:rsidRDefault="00913FAD">
            <w:pPr>
              <w:rPr>
                <w:rFonts w:eastAsia="Times New Roman" w:cs="Arial"/>
                <w:b/>
                <w:bCs/>
                <w:color w:val="215868" w:themeColor="accent5" w:themeShade="80"/>
                <w:sz w:val="16"/>
                <w:szCs w:val="16"/>
                <w:lang w:eastAsia="fr-FR"/>
              </w:rPr>
            </w:pPr>
          </w:p>
          <w:p w14:paraId="34C393CB" w14:textId="77777777" w:rsidR="00913FAD" w:rsidRPr="00913FAD" w:rsidRDefault="00913FAD" w:rsidP="00400001">
            <w:pPr>
              <w:rPr>
                <w:rFonts w:eastAsia="Times New Roman" w:cs="Arial"/>
                <w:b/>
                <w:bCs/>
                <w:color w:val="215868" w:themeColor="accent5" w:themeShade="80"/>
                <w:sz w:val="16"/>
                <w:szCs w:val="16"/>
                <w:lang w:eastAsia="fr-FR"/>
              </w:rPr>
            </w:pPr>
          </w:p>
        </w:tc>
      </w:tr>
      <w:tr w:rsidR="00913FAD" w:rsidRPr="002F2FF4" w14:paraId="09913A51" w14:textId="77777777" w:rsidTr="00913FAD">
        <w:tc>
          <w:tcPr>
            <w:tcW w:w="10456" w:type="dxa"/>
            <w:gridSpan w:val="3"/>
          </w:tcPr>
          <w:p w14:paraId="00243EFE" w14:textId="1666340A" w:rsidR="00913FAD" w:rsidRPr="00DF5CEB" w:rsidRDefault="00913FAD" w:rsidP="000A73A6">
            <w:pPr>
              <w:jc w:val="center"/>
              <w:rPr>
                <w:rFonts w:cs="Arial"/>
                <w:b/>
                <w:bCs/>
                <w:color w:val="16808D"/>
                <w:sz w:val="16"/>
                <w:szCs w:val="16"/>
                <w:shd w:val="clear" w:color="auto" w:fill="FFFFFF"/>
              </w:rPr>
            </w:pPr>
            <w:r w:rsidRPr="00DF5CEB">
              <w:rPr>
                <w:rFonts w:cs="Arial"/>
                <w:b/>
                <w:bCs/>
                <w:color w:val="215868" w:themeColor="accent5" w:themeShade="80"/>
                <w:sz w:val="16"/>
                <w:szCs w:val="16"/>
                <w:shd w:val="clear" w:color="auto" w:fill="FFFFFF"/>
              </w:rPr>
              <w:t>Domaine 2 : les méthodes et outils pour apprendre</w:t>
            </w:r>
          </w:p>
        </w:tc>
      </w:tr>
      <w:tr w:rsidR="00913FAD" w:rsidRPr="002F2FF4" w14:paraId="5533922A" w14:textId="77777777" w:rsidTr="00913FAD">
        <w:tc>
          <w:tcPr>
            <w:tcW w:w="10456" w:type="dxa"/>
            <w:gridSpan w:val="3"/>
          </w:tcPr>
          <w:p w14:paraId="2376F711" w14:textId="64038119" w:rsidR="00913FAD" w:rsidRPr="00DF5CEB" w:rsidRDefault="00913FAD" w:rsidP="00D1529E">
            <w:pPr>
              <w:rPr>
                <w:rFonts w:cs="Arial"/>
                <w:b/>
                <w:color w:val="215868" w:themeColor="accent5" w:themeShade="80"/>
                <w:sz w:val="16"/>
                <w:szCs w:val="16"/>
                <w:shd w:val="clear" w:color="auto" w:fill="FFFFFF"/>
              </w:rPr>
            </w:pPr>
            <w:r w:rsidRPr="00DF5CEB">
              <w:rPr>
                <w:rFonts w:cs="Arial"/>
                <w:b/>
                <w:color w:val="215868" w:themeColor="accent5" w:themeShade="80"/>
                <w:sz w:val="16"/>
                <w:szCs w:val="16"/>
                <w:shd w:val="clear" w:color="auto" w:fill="FFFFFF"/>
              </w:rPr>
              <w:t>Coopération et réalisation de projets</w:t>
            </w:r>
          </w:p>
          <w:p w14:paraId="25F10D87" w14:textId="77777777" w:rsidR="00913FAD" w:rsidRPr="00DF5CEB" w:rsidRDefault="00913FAD" w:rsidP="00D15FD1">
            <w:pPr>
              <w:pStyle w:val="NormalWeb"/>
              <w:shd w:val="clear" w:color="auto" w:fill="FFFFFF"/>
              <w:spacing w:before="0" w:beforeAutospacing="0" w:after="0" w:afterAutospacing="0"/>
              <w:rPr>
                <w:rFonts w:asciiTheme="minorHAnsi" w:hAnsiTheme="minorHAnsi" w:cs="Arial"/>
                <w:color w:val="000000"/>
                <w:sz w:val="16"/>
                <w:szCs w:val="16"/>
              </w:rPr>
            </w:pPr>
            <w:r w:rsidRPr="00DF5CEB">
              <w:rPr>
                <w:rFonts w:asciiTheme="minorHAnsi" w:hAnsiTheme="minorHAnsi" w:cs="Arial"/>
                <w:color w:val="000000"/>
                <w:sz w:val="16"/>
                <w:szCs w:val="16"/>
              </w:rPr>
              <w:t>Travail en équipe, négociation et recherche un consensus.</w:t>
            </w:r>
          </w:p>
          <w:p w14:paraId="4E377030" w14:textId="50EF782D" w:rsidR="00913FAD" w:rsidRDefault="00913FAD" w:rsidP="00D15FD1">
            <w:pPr>
              <w:pStyle w:val="NormalWeb"/>
              <w:shd w:val="clear" w:color="auto" w:fill="FFFFFF"/>
              <w:spacing w:before="0" w:beforeAutospacing="0" w:after="0" w:afterAutospacing="0"/>
              <w:rPr>
                <w:rFonts w:asciiTheme="minorHAnsi" w:hAnsiTheme="minorHAnsi" w:cs="Arial"/>
                <w:color w:val="000000"/>
                <w:sz w:val="16"/>
                <w:szCs w:val="16"/>
              </w:rPr>
            </w:pPr>
            <w:r w:rsidRPr="00DF5CEB">
              <w:rPr>
                <w:rFonts w:asciiTheme="minorHAnsi" w:hAnsiTheme="minorHAnsi" w:cs="Arial"/>
                <w:color w:val="000000"/>
                <w:sz w:val="16"/>
                <w:szCs w:val="16"/>
              </w:rPr>
              <w:t>Gestion d’un projet collectif :  planification des tâches, des étapes et évaluation de l'atteinte des objectifs.</w:t>
            </w:r>
          </w:p>
          <w:p w14:paraId="42C1F854" w14:textId="77777777" w:rsidR="00DF5CEB" w:rsidRDefault="00DF5CEB" w:rsidP="00D15FD1">
            <w:pPr>
              <w:pStyle w:val="NormalWeb"/>
              <w:shd w:val="clear" w:color="auto" w:fill="FFFFFF"/>
              <w:spacing w:before="0" w:beforeAutospacing="0" w:after="0" w:afterAutospacing="0"/>
              <w:rPr>
                <w:rFonts w:asciiTheme="minorHAnsi" w:hAnsiTheme="minorHAnsi" w:cs="Arial"/>
                <w:color w:val="000000"/>
                <w:sz w:val="16"/>
                <w:szCs w:val="16"/>
              </w:rPr>
            </w:pPr>
          </w:p>
          <w:p w14:paraId="2145B0AB" w14:textId="5030BF39" w:rsidR="00DF5CEB" w:rsidRPr="00DF5CEB" w:rsidRDefault="00DF5CEB" w:rsidP="00DF5CEB">
            <w:pPr>
              <w:rPr>
                <w:color w:val="31849B" w:themeColor="accent5" w:themeShade="BF"/>
                <w:sz w:val="16"/>
                <w:szCs w:val="16"/>
              </w:rPr>
            </w:pPr>
            <w:r w:rsidRPr="00DF5CEB">
              <w:rPr>
                <w:color w:val="31849B" w:themeColor="accent5" w:themeShade="BF"/>
                <w:sz w:val="16"/>
                <w:szCs w:val="16"/>
              </w:rPr>
              <w:t>S'informer dans le monde du numérique</w:t>
            </w:r>
            <w:r w:rsidR="00D650DE">
              <w:rPr>
                <w:color w:val="31849B" w:themeColor="accent5" w:themeShade="BF"/>
                <w:sz w:val="16"/>
                <w:szCs w:val="16"/>
              </w:rPr>
              <w:t xml:space="preserve"> : </w:t>
            </w:r>
            <w:r w:rsidR="00D650DE" w:rsidRPr="00D650DE">
              <w:rPr>
                <w:sz w:val="16"/>
                <w:szCs w:val="16"/>
              </w:rPr>
              <w:t xml:space="preserve">Acquérir une </w:t>
            </w:r>
            <w:r w:rsidR="00D650DE" w:rsidRPr="00DF5CEB">
              <w:rPr>
                <w:sz w:val="16"/>
                <w:szCs w:val="16"/>
              </w:rPr>
              <w:t xml:space="preserve">méthode de recherche d'informations et de leur exploitation </w:t>
            </w:r>
          </w:p>
          <w:p w14:paraId="09974C98" w14:textId="27A045F1" w:rsidR="00DF5CEB" w:rsidRPr="00DF5CEB" w:rsidRDefault="00DF5CEB" w:rsidP="00DF5CEB">
            <w:pPr>
              <w:rPr>
                <w:sz w:val="16"/>
                <w:szCs w:val="16"/>
              </w:rPr>
            </w:pPr>
            <w:r w:rsidRPr="00DF5CEB">
              <w:rPr>
                <w:sz w:val="16"/>
                <w:szCs w:val="16"/>
              </w:rPr>
              <w:t>Connaître différents systèmes d'information, les utiliser</w:t>
            </w:r>
            <w:r w:rsidR="00D650DE">
              <w:rPr>
                <w:sz w:val="16"/>
                <w:szCs w:val="16"/>
              </w:rPr>
              <w:t xml:space="preserve"> : </w:t>
            </w:r>
            <w:r w:rsidR="00D650DE" w:rsidRPr="00DF5CEB">
              <w:rPr>
                <w:sz w:val="16"/>
                <w:szCs w:val="16"/>
              </w:rPr>
              <w:t>moteurs de recherche, des dictionnaires et des encyclopédies en ligne, des sites et des réseaux d</w:t>
            </w:r>
            <w:r w:rsidR="00D650DE">
              <w:rPr>
                <w:sz w:val="16"/>
                <w:szCs w:val="16"/>
              </w:rPr>
              <w:t>e ressources documentaires.</w:t>
            </w:r>
          </w:p>
          <w:p w14:paraId="21D1ADEC" w14:textId="2382176C" w:rsidR="00DF5CEB" w:rsidRPr="00DF5CEB" w:rsidRDefault="00DF5CEB" w:rsidP="00DF5CEB">
            <w:pPr>
              <w:rPr>
                <w:sz w:val="16"/>
                <w:szCs w:val="16"/>
              </w:rPr>
            </w:pPr>
            <w:r w:rsidRPr="00DF5CEB">
              <w:rPr>
                <w:sz w:val="16"/>
                <w:szCs w:val="16"/>
              </w:rPr>
              <w:t>Trouver, sélectionne</w:t>
            </w:r>
            <w:r w:rsidR="00D650DE">
              <w:rPr>
                <w:sz w:val="16"/>
                <w:szCs w:val="16"/>
              </w:rPr>
              <w:t>r et exploiter des informations, v</w:t>
            </w:r>
            <w:r w:rsidRPr="00DF5CEB">
              <w:rPr>
                <w:sz w:val="16"/>
                <w:szCs w:val="16"/>
              </w:rPr>
              <w:t>érifier l'origine/la source des informations et leur pertinence.</w:t>
            </w:r>
          </w:p>
          <w:p w14:paraId="040A01E4" w14:textId="77777777" w:rsidR="00DF5CEB" w:rsidRPr="00DF5CEB" w:rsidRDefault="00DF5CEB" w:rsidP="00DF5CEB">
            <w:pPr>
              <w:rPr>
                <w:sz w:val="16"/>
                <w:szCs w:val="16"/>
              </w:rPr>
            </w:pPr>
            <w:r w:rsidRPr="00DF5CEB">
              <w:rPr>
                <w:sz w:val="16"/>
                <w:szCs w:val="16"/>
              </w:rPr>
              <w:t>Exercer son esprit critique sur les données numériques, en apprenant à les comparer à celles qu'on peut tirer de documents de divers types.</w:t>
            </w:r>
          </w:p>
          <w:p w14:paraId="14A9987A" w14:textId="2D984251" w:rsidR="00D650DE" w:rsidRPr="00D650DE" w:rsidRDefault="00DF5CEB" w:rsidP="00DF5CEB">
            <w:pPr>
              <w:rPr>
                <w:sz w:val="16"/>
                <w:szCs w:val="16"/>
              </w:rPr>
            </w:pPr>
            <w:r w:rsidRPr="00DF5CEB">
              <w:rPr>
                <w:sz w:val="16"/>
                <w:szCs w:val="16"/>
              </w:rPr>
              <w:t>Utiliser les outils numériques et le</w:t>
            </w:r>
            <w:r w:rsidR="00D650DE">
              <w:rPr>
                <w:sz w:val="16"/>
                <w:szCs w:val="16"/>
              </w:rPr>
              <w:t xml:space="preserve"> CDI à des fins de connaissances</w:t>
            </w:r>
          </w:p>
          <w:p w14:paraId="3FD7CF2C" w14:textId="77777777" w:rsidR="00913FAD" w:rsidRPr="00DF5CEB" w:rsidRDefault="00913FAD" w:rsidP="00D650DE">
            <w:pPr>
              <w:pStyle w:val="NormalWeb"/>
              <w:shd w:val="clear" w:color="auto" w:fill="FFFFFF"/>
              <w:spacing w:before="0" w:beforeAutospacing="0" w:after="0" w:afterAutospacing="0"/>
              <w:rPr>
                <w:rFonts w:asciiTheme="minorHAnsi" w:hAnsiTheme="minorHAnsi" w:cs="Arial"/>
                <w:b/>
                <w:bCs/>
                <w:color w:val="16808D"/>
                <w:sz w:val="16"/>
                <w:szCs w:val="16"/>
                <w:shd w:val="clear" w:color="auto" w:fill="FFFFFF"/>
              </w:rPr>
            </w:pPr>
          </w:p>
        </w:tc>
      </w:tr>
      <w:tr w:rsidR="00913FAD" w:rsidRPr="002F2FF4" w14:paraId="3200BEC5" w14:textId="77777777" w:rsidTr="00913FAD">
        <w:tc>
          <w:tcPr>
            <w:tcW w:w="10456" w:type="dxa"/>
            <w:gridSpan w:val="3"/>
          </w:tcPr>
          <w:p w14:paraId="367B4487" w14:textId="44629DC9" w:rsidR="00913FAD" w:rsidRPr="00DF5CEB" w:rsidRDefault="00913FAD" w:rsidP="000A73A6">
            <w:pPr>
              <w:jc w:val="center"/>
              <w:rPr>
                <w:rFonts w:cs="Arial"/>
                <w:b/>
                <w:bCs/>
                <w:color w:val="215868" w:themeColor="accent5" w:themeShade="80"/>
                <w:sz w:val="16"/>
                <w:szCs w:val="16"/>
                <w:shd w:val="clear" w:color="auto" w:fill="FFFFFF"/>
              </w:rPr>
            </w:pPr>
            <w:r w:rsidRPr="00DF5CEB">
              <w:rPr>
                <w:rFonts w:cs="Arial"/>
                <w:b/>
                <w:bCs/>
                <w:color w:val="215868" w:themeColor="accent5" w:themeShade="80"/>
                <w:sz w:val="16"/>
                <w:szCs w:val="16"/>
                <w:shd w:val="clear" w:color="auto" w:fill="FFFFFF"/>
              </w:rPr>
              <w:t>Domaine 3 : la formation de la personne et du citoyen</w:t>
            </w:r>
          </w:p>
        </w:tc>
      </w:tr>
      <w:tr w:rsidR="009649B5" w:rsidRPr="002F2FF4" w14:paraId="6F63FB9B" w14:textId="77777777" w:rsidTr="00EB793E">
        <w:tc>
          <w:tcPr>
            <w:tcW w:w="3823" w:type="dxa"/>
          </w:tcPr>
          <w:p w14:paraId="3FBA4C67" w14:textId="77777777" w:rsidR="00913FAD" w:rsidRPr="00DF5CEB" w:rsidRDefault="00913FAD" w:rsidP="000A73A6">
            <w:pPr>
              <w:rPr>
                <w:b/>
                <w:sz w:val="16"/>
                <w:szCs w:val="16"/>
              </w:rPr>
            </w:pPr>
          </w:p>
        </w:tc>
        <w:tc>
          <w:tcPr>
            <w:tcW w:w="3656" w:type="dxa"/>
          </w:tcPr>
          <w:p w14:paraId="6156F124" w14:textId="77777777" w:rsidR="00913FAD" w:rsidRPr="00DF5CEB" w:rsidRDefault="00913FAD" w:rsidP="000A73A6">
            <w:pPr>
              <w:rPr>
                <w:b/>
                <w:color w:val="215868" w:themeColor="accent5" w:themeShade="80"/>
                <w:sz w:val="16"/>
                <w:szCs w:val="16"/>
              </w:rPr>
            </w:pPr>
          </w:p>
        </w:tc>
        <w:tc>
          <w:tcPr>
            <w:tcW w:w="2977" w:type="dxa"/>
          </w:tcPr>
          <w:p w14:paraId="12D1B646" w14:textId="77777777" w:rsidR="006B4E89" w:rsidRDefault="00913FAD" w:rsidP="000A73A6">
            <w:pPr>
              <w:rPr>
                <w:b/>
                <w:color w:val="215868" w:themeColor="accent5" w:themeShade="80"/>
                <w:sz w:val="16"/>
                <w:szCs w:val="16"/>
              </w:rPr>
            </w:pPr>
            <w:r w:rsidRPr="00913FAD">
              <w:rPr>
                <w:b/>
                <w:color w:val="215868" w:themeColor="accent5" w:themeShade="80"/>
                <w:sz w:val="16"/>
                <w:szCs w:val="16"/>
              </w:rPr>
              <w:t>Le droit et la règle : des principes pour vivre avec les autres</w:t>
            </w:r>
          </w:p>
          <w:p w14:paraId="70CB2D2B" w14:textId="1D4B7CDC" w:rsidR="00913FAD" w:rsidRPr="006B4E89" w:rsidRDefault="006B4E89" w:rsidP="000A73A6">
            <w:pPr>
              <w:rPr>
                <w:b/>
                <w:color w:val="215868" w:themeColor="accent5" w:themeShade="80"/>
                <w:sz w:val="16"/>
                <w:szCs w:val="16"/>
              </w:rPr>
            </w:pPr>
            <w:r>
              <w:rPr>
                <w:sz w:val="16"/>
                <w:szCs w:val="16"/>
              </w:rPr>
              <w:t>L</w:t>
            </w:r>
            <w:r w:rsidR="00913FAD" w:rsidRPr="00913FAD">
              <w:rPr>
                <w:sz w:val="16"/>
                <w:szCs w:val="16"/>
              </w:rPr>
              <w:t>es notions de droit et de devoir</w:t>
            </w:r>
            <w:r>
              <w:rPr>
                <w:sz w:val="16"/>
                <w:szCs w:val="16"/>
              </w:rPr>
              <w:t>s</w:t>
            </w:r>
          </w:p>
          <w:p w14:paraId="2F18064A" w14:textId="77777777" w:rsidR="006B4E89" w:rsidRDefault="00EB793E" w:rsidP="000A73A6">
            <w:pPr>
              <w:rPr>
                <w:sz w:val="16"/>
                <w:szCs w:val="16"/>
              </w:rPr>
            </w:pPr>
            <w:r w:rsidRPr="00913FAD">
              <w:rPr>
                <w:sz w:val="16"/>
                <w:szCs w:val="16"/>
              </w:rPr>
              <w:t>Respecter</w:t>
            </w:r>
            <w:r w:rsidR="00913FAD" w:rsidRPr="00913FAD">
              <w:rPr>
                <w:sz w:val="16"/>
                <w:szCs w:val="16"/>
              </w:rPr>
              <w:t xml:space="preserve"> tous les autres</w:t>
            </w:r>
          </w:p>
          <w:p w14:paraId="75C1FDFB" w14:textId="25F19ACB" w:rsidR="00913FAD" w:rsidRPr="00913FAD" w:rsidRDefault="006B4E89" w:rsidP="000A73A6">
            <w:pPr>
              <w:rPr>
                <w:sz w:val="16"/>
                <w:szCs w:val="16"/>
              </w:rPr>
            </w:pPr>
            <w:r>
              <w:rPr>
                <w:sz w:val="16"/>
                <w:szCs w:val="16"/>
              </w:rPr>
              <w:t>L</w:t>
            </w:r>
            <w:r w:rsidR="00913FAD" w:rsidRPr="00913FAD">
              <w:rPr>
                <w:sz w:val="16"/>
                <w:szCs w:val="16"/>
              </w:rPr>
              <w:t>es principes et valeurs de la République</w:t>
            </w:r>
          </w:p>
          <w:p w14:paraId="186027C1" w14:textId="77D637F4" w:rsidR="00913FAD" w:rsidRDefault="00EB793E" w:rsidP="000A73A6">
            <w:pPr>
              <w:rPr>
                <w:sz w:val="16"/>
                <w:szCs w:val="16"/>
              </w:rPr>
            </w:pPr>
            <w:r w:rsidRPr="00913FAD">
              <w:rPr>
                <w:sz w:val="16"/>
                <w:szCs w:val="16"/>
              </w:rPr>
              <w:t>Reconnaître</w:t>
            </w:r>
            <w:r w:rsidR="00913FAD" w:rsidRPr="00913FAD">
              <w:rPr>
                <w:sz w:val="16"/>
                <w:szCs w:val="16"/>
              </w:rPr>
              <w:t xml:space="preserve"> les traits constitutifs de la République française : fondement de la loi et citoyenneté municipale</w:t>
            </w:r>
          </w:p>
          <w:p w14:paraId="2E398304" w14:textId="4B3F073A" w:rsidR="008E46D3" w:rsidRPr="00913FAD" w:rsidRDefault="00EB793E" w:rsidP="000A73A6">
            <w:pPr>
              <w:rPr>
                <w:sz w:val="16"/>
                <w:szCs w:val="16"/>
              </w:rPr>
            </w:pPr>
            <w:r>
              <w:rPr>
                <w:sz w:val="16"/>
                <w:szCs w:val="16"/>
              </w:rPr>
              <w:t>Expliquer</w:t>
            </w:r>
            <w:r w:rsidR="008E46D3">
              <w:rPr>
                <w:sz w:val="16"/>
                <w:szCs w:val="16"/>
              </w:rPr>
              <w:t xml:space="preserve"> les grands principes de la justice</w:t>
            </w:r>
          </w:p>
        </w:tc>
      </w:tr>
      <w:tr w:rsidR="009649B5" w:rsidRPr="002F2FF4" w14:paraId="434A8A09" w14:textId="77777777" w:rsidTr="00EB793E">
        <w:tc>
          <w:tcPr>
            <w:tcW w:w="3823" w:type="dxa"/>
          </w:tcPr>
          <w:p w14:paraId="69B84A43" w14:textId="77777777" w:rsidR="00913FAD" w:rsidRPr="00DF5CEB" w:rsidRDefault="00913FAD" w:rsidP="000A73A6">
            <w:pPr>
              <w:rPr>
                <w:b/>
                <w:sz w:val="16"/>
                <w:szCs w:val="16"/>
              </w:rPr>
            </w:pPr>
          </w:p>
        </w:tc>
        <w:tc>
          <w:tcPr>
            <w:tcW w:w="3656" w:type="dxa"/>
          </w:tcPr>
          <w:p w14:paraId="15932140" w14:textId="77777777" w:rsidR="00913FAD" w:rsidRPr="00DF5CEB" w:rsidRDefault="00913FAD" w:rsidP="000A73A6">
            <w:pPr>
              <w:rPr>
                <w:b/>
                <w:color w:val="215868" w:themeColor="accent5" w:themeShade="80"/>
                <w:sz w:val="16"/>
                <w:szCs w:val="16"/>
              </w:rPr>
            </w:pPr>
          </w:p>
        </w:tc>
        <w:tc>
          <w:tcPr>
            <w:tcW w:w="2977" w:type="dxa"/>
          </w:tcPr>
          <w:p w14:paraId="18CAE875" w14:textId="77777777" w:rsidR="00D650DE" w:rsidRDefault="00913FAD" w:rsidP="000A73A6">
            <w:pPr>
              <w:rPr>
                <w:b/>
                <w:color w:val="215868" w:themeColor="accent5" w:themeShade="80"/>
                <w:sz w:val="16"/>
                <w:szCs w:val="16"/>
              </w:rPr>
            </w:pPr>
            <w:r w:rsidRPr="00913FAD">
              <w:rPr>
                <w:b/>
                <w:color w:val="215868" w:themeColor="accent5" w:themeShade="80"/>
                <w:sz w:val="16"/>
                <w:szCs w:val="16"/>
              </w:rPr>
              <w:t>Le jugement : penser par soi-même et avec les autres</w:t>
            </w:r>
          </w:p>
          <w:p w14:paraId="116CD264" w14:textId="3FD41EE2" w:rsidR="00913FAD" w:rsidRPr="00D650DE" w:rsidRDefault="00D650DE" w:rsidP="000A73A6">
            <w:pPr>
              <w:rPr>
                <w:b/>
                <w:color w:val="215868" w:themeColor="accent5" w:themeShade="80"/>
                <w:sz w:val="16"/>
                <w:szCs w:val="16"/>
              </w:rPr>
            </w:pPr>
            <w:r>
              <w:rPr>
                <w:sz w:val="16"/>
                <w:szCs w:val="16"/>
              </w:rPr>
              <w:t>R</w:t>
            </w:r>
            <w:r w:rsidR="00913FAD" w:rsidRPr="00EB793E">
              <w:rPr>
                <w:sz w:val="16"/>
                <w:szCs w:val="16"/>
              </w:rPr>
              <w:t>éfléchir sur l’intérêt général et l’intérêt parti</w:t>
            </w:r>
            <w:r w:rsidR="006B4E89">
              <w:rPr>
                <w:sz w:val="16"/>
                <w:szCs w:val="16"/>
              </w:rPr>
              <w:t>culier</w:t>
            </w:r>
          </w:p>
          <w:p w14:paraId="0AC8EBD2" w14:textId="7B41A732" w:rsidR="005C72F7" w:rsidRPr="00EB793E" w:rsidRDefault="005C72F7" w:rsidP="000A73A6">
            <w:pPr>
              <w:rPr>
                <w:sz w:val="16"/>
                <w:szCs w:val="16"/>
              </w:rPr>
            </w:pPr>
            <w:r>
              <w:rPr>
                <w:sz w:val="16"/>
                <w:szCs w:val="16"/>
              </w:rPr>
              <w:t>Comprendre que deux valeurs de la République, la liberté et l’égalité, peuvent entrer en tension.</w:t>
            </w:r>
          </w:p>
          <w:p w14:paraId="16CFF72F" w14:textId="329D4E8C" w:rsidR="005C72F7" w:rsidRPr="00913FAD" w:rsidRDefault="005C72F7" w:rsidP="000A73A6">
            <w:pPr>
              <w:rPr>
                <w:b/>
                <w:sz w:val="16"/>
                <w:szCs w:val="16"/>
              </w:rPr>
            </w:pPr>
            <w:r>
              <w:rPr>
                <w:rFonts w:cs="Arial"/>
                <w:color w:val="000000"/>
                <w:sz w:val="16"/>
                <w:szCs w:val="16"/>
                <w:shd w:val="clear" w:color="auto" w:fill="E8F3F4"/>
              </w:rPr>
              <w:t>Comprendre les enjeux de la liberté de la presse</w:t>
            </w:r>
          </w:p>
        </w:tc>
      </w:tr>
      <w:tr w:rsidR="00913FAD" w:rsidRPr="002F2FF4" w14:paraId="08F478DF" w14:textId="77777777" w:rsidTr="00913FAD">
        <w:tc>
          <w:tcPr>
            <w:tcW w:w="10456" w:type="dxa"/>
            <w:gridSpan w:val="3"/>
          </w:tcPr>
          <w:p w14:paraId="1D9E4B72" w14:textId="486F3E96" w:rsidR="00913FAD" w:rsidRPr="00DF5CEB" w:rsidRDefault="00913FAD" w:rsidP="000A73A6">
            <w:pPr>
              <w:rPr>
                <w:b/>
                <w:color w:val="215868" w:themeColor="accent5" w:themeShade="80"/>
                <w:sz w:val="16"/>
                <w:szCs w:val="16"/>
              </w:rPr>
            </w:pPr>
            <w:r w:rsidRPr="00DF5CEB">
              <w:rPr>
                <w:b/>
                <w:color w:val="215868" w:themeColor="accent5" w:themeShade="80"/>
                <w:sz w:val="16"/>
                <w:szCs w:val="16"/>
              </w:rPr>
              <w:t>L’engagement : agir individuellement et collectivement</w:t>
            </w:r>
          </w:p>
          <w:p w14:paraId="76CE7D36" w14:textId="024ECBA6" w:rsidR="00EB793E" w:rsidRPr="00DF5CEB" w:rsidRDefault="00EB793E" w:rsidP="000A73A6">
            <w:pPr>
              <w:rPr>
                <w:sz w:val="16"/>
                <w:szCs w:val="16"/>
              </w:rPr>
            </w:pPr>
            <w:r w:rsidRPr="00DF5CEB">
              <w:rPr>
                <w:sz w:val="16"/>
                <w:szCs w:val="16"/>
              </w:rPr>
              <w:t>S’engager</w:t>
            </w:r>
            <w:r w:rsidR="00913FAD" w:rsidRPr="00DF5CEB">
              <w:rPr>
                <w:sz w:val="16"/>
                <w:szCs w:val="16"/>
              </w:rPr>
              <w:t xml:space="preserve"> dans la réalisation d’un projet collectif</w:t>
            </w:r>
          </w:p>
          <w:p w14:paraId="7663AFF6" w14:textId="06A63563" w:rsidR="00913FAD" w:rsidRPr="00DF5CEB" w:rsidRDefault="00EB793E" w:rsidP="000A73A6">
            <w:pPr>
              <w:rPr>
                <w:sz w:val="16"/>
                <w:szCs w:val="16"/>
              </w:rPr>
            </w:pPr>
            <w:r w:rsidRPr="00DF5CEB">
              <w:rPr>
                <w:sz w:val="16"/>
                <w:szCs w:val="16"/>
              </w:rPr>
              <w:t>Savoir</w:t>
            </w:r>
            <w:r w:rsidR="00913FAD" w:rsidRPr="00DF5CEB">
              <w:rPr>
                <w:sz w:val="16"/>
                <w:szCs w:val="16"/>
              </w:rPr>
              <w:t xml:space="preserve"> participer et prendre sa place dans un groupe</w:t>
            </w:r>
          </w:p>
          <w:p w14:paraId="42DEA000" w14:textId="77777777" w:rsidR="00913FAD" w:rsidRPr="00DF5CEB" w:rsidRDefault="00913FAD" w:rsidP="00913FAD">
            <w:pPr>
              <w:numPr>
                <w:ilvl w:val="0"/>
                <w:numId w:val="12"/>
              </w:numPr>
              <w:tabs>
                <w:tab w:val="left" w:pos="720"/>
              </w:tabs>
              <w:suppressAutoHyphens/>
              <w:autoSpaceDN w:val="0"/>
              <w:spacing w:before="100" w:after="100"/>
              <w:ind w:left="0"/>
              <w:textAlignment w:val="baseline"/>
              <w:rPr>
                <w:sz w:val="16"/>
                <w:szCs w:val="16"/>
              </w:rPr>
            </w:pPr>
            <w:r w:rsidRPr="00DF5CEB">
              <w:rPr>
                <w:rFonts w:eastAsia="Times New Roman" w:cs="Times New Roman"/>
                <w:iCs/>
                <w:sz w:val="16"/>
                <w:szCs w:val="16"/>
                <w:lang w:eastAsia="fr-FR"/>
              </w:rPr>
              <w:t>Organiser son travail dans le cadre d'un groupe pour élaborer une tâche commune et/ou une production collective et mettre à la disposition des autres ses compétences et ses connaissances.</w:t>
            </w:r>
          </w:p>
          <w:p w14:paraId="7D498807" w14:textId="03E1928D" w:rsidR="00913FAD" w:rsidRPr="00D650DE" w:rsidRDefault="00913FAD" w:rsidP="00D650DE">
            <w:pPr>
              <w:numPr>
                <w:ilvl w:val="0"/>
                <w:numId w:val="14"/>
              </w:numPr>
              <w:tabs>
                <w:tab w:val="left" w:pos="720"/>
              </w:tabs>
              <w:suppressAutoHyphens/>
              <w:autoSpaceDN w:val="0"/>
              <w:spacing w:before="100" w:after="100"/>
              <w:ind w:left="0"/>
              <w:textAlignment w:val="baseline"/>
              <w:rPr>
                <w:rFonts w:eastAsia="Times New Roman"/>
                <w:sz w:val="16"/>
                <w:szCs w:val="16"/>
                <w:lang w:eastAsia="fr-FR"/>
              </w:rPr>
            </w:pPr>
            <w:r w:rsidRPr="00DF5CEB">
              <w:rPr>
                <w:rFonts w:eastAsia="Times New Roman" w:cs="Times New Roman"/>
                <w:sz w:val="16"/>
                <w:szCs w:val="16"/>
                <w:lang w:eastAsia="fr-FR"/>
              </w:rPr>
              <w:t>Discuter, expliquer, confronter ses représentations, argumenter pour défendre ses choix.</w:t>
            </w:r>
          </w:p>
        </w:tc>
      </w:tr>
      <w:tr w:rsidR="00913FAD" w:rsidRPr="002F2FF4" w14:paraId="6A3D7104" w14:textId="77777777" w:rsidTr="00913FAD">
        <w:tc>
          <w:tcPr>
            <w:tcW w:w="10456" w:type="dxa"/>
            <w:gridSpan w:val="3"/>
          </w:tcPr>
          <w:p w14:paraId="75E4EBF8" w14:textId="75B14E33" w:rsidR="00913FAD" w:rsidRPr="00DF5CEB" w:rsidRDefault="00913FAD" w:rsidP="00913FAD">
            <w:pPr>
              <w:jc w:val="center"/>
              <w:rPr>
                <w:b/>
                <w:color w:val="215868" w:themeColor="accent5" w:themeShade="80"/>
                <w:sz w:val="16"/>
                <w:szCs w:val="16"/>
              </w:rPr>
            </w:pPr>
            <w:r w:rsidRPr="00DF5CEB">
              <w:rPr>
                <w:rFonts w:cs="Arial"/>
                <w:b/>
                <w:bCs/>
                <w:color w:val="31849B" w:themeColor="accent5" w:themeShade="BF"/>
                <w:sz w:val="16"/>
                <w:szCs w:val="16"/>
                <w:shd w:val="clear" w:color="auto" w:fill="E8F3F4"/>
              </w:rPr>
              <w:t>Domaine 5. Les représentations du monde et l'activité humaine</w:t>
            </w:r>
          </w:p>
        </w:tc>
      </w:tr>
      <w:tr w:rsidR="009649B5" w:rsidRPr="002F2FF4" w14:paraId="76BB166F" w14:textId="77777777" w:rsidTr="00DF5CEB">
        <w:tc>
          <w:tcPr>
            <w:tcW w:w="10456" w:type="dxa"/>
            <w:gridSpan w:val="3"/>
            <w:shd w:val="clear" w:color="auto" w:fill="auto"/>
          </w:tcPr>
          <w:p w14:paraId="024E6CD6" w14:textId="77777777" w:rsidR="00DF5CEB" w:rsidRPr="00DF5CEB" w:rsidRDefault="00DF5CEB" w:rsidP="00DF5CEB">
            <w:pPr>
              <w:rPr>
                <w:color w:val="31849B" w:themeColor="accent5" w:themeShade="BF"/>
                <w:sz w:val="16"/>
                <w:szCs w:val="16"/>
              </w:rPr>
            </w:pPr>
            <w:r w:rsidRPr="00DF5CEB">
              <w:rPr>
                <w:color w:val="31849B" w:themeColor="accent5" w:themeShade="BF"/>
                <w:sz w:val="16"/>
                <w:szCs w:val="16"/>
              </w:rPr>
              <w:t>Se construire une culture personnelle</w:t>
            </w:r>
          </w:p>
          <w:p w14:paraId="15B1F6A8" w14:textId="77777777" w:rsidR="00DF5CEB" w:rsidRPr="00DF5CEB" w:rsidRDefault="00DF5CEB" w:rsidP="00DF5CEB">
            <w:pPr>
              <w:rPr>
                <w:sz w:val="16"/>
                <w:szCs w:val="16"/>
              </w:rPr>
            </w:pPr>
            <w:r w:rsidRPr="00DF5CEB">
              <w:rPr>
                <w:sz w:val="16"/>
                <w:szCs w:val="16"/>
              </w:rPr>
              <w:t>Se construire une culture littéraire et historique vivante</w:t>
            </w:r>
          </w:p>
          <w:p w14:paraId="67504540" w14:textId="77777777" w:rsidR="00DF5CEB" w:rsidRPr="00DF5CEB" w:rsidRDefault="00DF5CEB" w:rsidP="00DF5CEB">
            <w:pPr>
              <w:rPr>
                <w:sz w:val="16"/>
                <w:szCs w:val="16"/>
              </w:rPr>
            </w:pPr>
            <w:r w:rsidRPr="00DF5CEB">
              <w:rPr>
                <w:sz w:val="16"/>
                <w:szCs w:val="16"/>
              </w:rPr>
              <w:t>S’approprier l’organisation et le fonctionnement de la société des Lumières et de la société actuelle</w:t>
            </w:r>
          </w:p>
          <w:p w14:paraId="0D7D9E44" w14:textId="77777777" w:rsidR="00DF5CEB" w:rsidRPr="00DF5CEB" w:rsidRDefault="00DF5CEB" w:rsidP="00DF5CEB">
            <w:pPr>
              <w:rPr>
                <w:sz w:val="16"/>
                <w:szCs w:val="16"/>
              </w:rPr>
            </w:pPr>
            <w:r w:rsidRPr="00DF5CEB">
              <w:rPr>
                <w:sz w:val="16"/>
                <w:szCs w:val="16"/>
              </w:rPr>
              <w:t>Mener une réflexion sur la place et la diversité des médias dans la vie sociale et politique, sur les enjeux de la liberté de la presse.</w:t>
            </w:r>
          </w:p>
          <w:p w14:paraId="6C68420E" w14:textId="74C66BD8" w:rsidR="005C72F7" w:rsidRPr="00DF5CEB" w:rsidRDefault="005C72F7" w:rsidP="00DF5CEB">
            <w:pPr>
              <w:rPr>
                <w:rFonts w:cs="Arial"/>
                <w:b/>
                <w:bCs/>
                <w:sz w:val="16"/>
                <w:szCs w:val="16"/>
                <w:shd w:val="clear" w:color="auto" w:fill="E8F3F4"/>
              </w:rPr>
            </w:pPr>
          </w:p>
        </w:tc>
      </w:tr>
    </w:tbl>
    <w:p w14:paraId="35977597" w14:textId="77777777" w:rsidR="006B4E89" w:rsidRDefault="006B4E89" w:rsidP="006B4E89">
      <w:pPr>
        <w:pStyle w:val="Paragraphedeliste"/>
        <w:rPr>
          <w:b/>
        </w:rPr>
      </w:pPr>
    </w:p>
    <w:p w14:paraId="4C8EDCC7" w14:textId="77777777" w:rsidR="00B67282" w:rsidRDefault="00B67282" w:rsidP="00B67282">
      <w:pPr>
        <w:pStyle w:val="Paragraphedeliste"/>
        <w:rPr>
          <w:b/>
        </w:rPr>
      </w:pPr>
    </w:p>
    <w:p w14:paraId="2A347952" w14:textId="21E796BF" w:rsidR="00EB793E" w:rsidRPr="00DF5CEB" w:rsidRDefault="00EB793E" w:rsidP="007F3465">
      <w:pPr>
        <w:pStyle w:val="Paragraphedeliste"/>
        <w:numPr>
          <w:ilvl w:val="0"/>
          <w:numId w:val="23"/>
        </w:numPr>
        <w:rPr>
          <w:b/>
        </w:rPr>
      </w:pPr>
      <w:r w:rsidRPr="00DF5CEB">
        <w:rPr>
          <w:b/>
        </w:rPr>
        <w:t xml:space="preserve">Corpus de textes étudiés : </w:t>
      </w:r>
    </w:p>
    <w:p w14:paraId="3C82B3A6" w14:textId="545AC4AF" w:rsidR="00EB793E" w:rsidRDefault="00EB793E" w:rsidP="007F3465">
      <w:pPr>
        <w:spacing w:after="0"/>
      </w:pPr>
      <w:r w:rsidRPr="00F84804">
        <w:rPr>
          <w:i/>
        </w:rPr>
        <w:t>Les lettres persanes</w:t>
      </w:r>
      <w:r w:rsidRPr="00C4758E">
        <w:t xml:space="preserve"> de Montesquieu</w:t>
      </w:r>
      <w:r w:rsidR="00F84804">
        <w:t xml:space="preserve">, Lettre XXIV, </w:t>
      </w:r>
      <w:r w:rsidR="00B53976">
        <w:t>Lettre XXX. (</w:t>
      </w:r>
      <w:r w:rsidR="000B2968">
        <w:t>Édition</w:t>
      </w:r>
      <w:r w:rsidR="00B53976">
        <w:t xml:space="preserve"> de 1758)</w:t>
      </w:r>
    </w:p>
    <w:p w14:paraId="61BC1B23" w14:textId="68AD8B1F" w:rsidR="005F5109" w:rsidRPr="00C4758E" w:rsidRDefault="005F5109" w:rsidP="007F3465">
      <w:pPr>
        <w:spacing w:after="0"/>
      </w:pPr>
      <w:r w:rsidRPr="00B53976">
        <w:rPr>
          <w:i/>
        </w:rPr>
        <w:t>L’esprit des lois</w:t>
      </w:r>
      <w:r>
        <w:t xml:space="preserve"> de Montesquieu (extrait</w:t>
      </w:r>
      <w:r w:rsidR="005D0D63">
        <w:t xml:space="preserve"> sur la séparation des pouvoirs, extrait définissant la liberté)</w:t>
      </w:r>
    </w:p>
    <w:p w14:paraId="18D01B83" w14:textId="63562E31" w:rsidR="00EB793E" w:rsidRPr="00DF5CEB" w:rsidRDefault="00EB793E" w:rsidP="007F3465">
      <w:pPr>
        <w:spacing w:after="0"/>
        <w:rPr>
          <w:color w:val="FF0000"/>
        </w:rPr>
      </w:pPr>
      <w:r w:rsidRPr="00B53976">
        <w:rPr>
          <w:i/>
        </w:rPr>
        <w:t>Le Mariage de Figaro</w:t>
      </w:r>
      <w:r w:rsidRPr="00C4758E">
        <w:t xml:space="preserve"> </w:t>
      </w:r>
      <w:r w:rsidR="00B53976">
        <w:t>de Beaumarchais, Acte V, scène 3 (le monologue de Figaro)</w:t>
      </w:r>
    </w:p>
    <w:p w14:paraId="0F642C8C" w14:textId="05DA7CF9" w:rsidR="00D41EAC" w:rsidRDefault="00B53976" w:rsidP="007F3465">
      <w:pPr>
        <w:spacing w:after="0"/>
      </w:pPr>
      <w:r>
        <w:t xml:space="preserve">Voltaire </w:t>
      </w:r>
      <w:r w:rsidRPr="00B53976">
        <w:rPr>
          <w:i/>
        </w:rPr>
        <w:t>L</w:t>
      </w:r>
      <w:r w:rsidR="00D41EAC" w:rsidRPr="00B53976">
        <w:rPr>
          <w:i/>
        </w:rPr>
        <w:t>es lettres p</w:t>
      </w:r>
      <w:r w:rsidR="005F5109" w:rsidRPr="00B53976">
        <w:rPr>
          <w:i/>
        </w:rPr>
        <w:t>hilosophiques</w:t>
      </w:r>
      <w:r w:rsidR="000B2968">
        <w:t xml:space="preserve"> (extraits des VIII° et IX° lettres </w:t>
      </w:r>
      <w:r w:rsidR="005F5109">
        <w:t>sur</w:t>
      </w:r>
      <w:r w:rsidR="000B2968">
        <w:t xml:space="preserve"> le Parlement et le</w:t>
      </w:r>
      <w:r w:rsidR="005F5109">
        <w:t xml:space="preserve"> gouvernement anglais)</w:t>
      </w:r>
      <w:r w:rsidR="006D0D8F">
        <w:t xml:space="preserve">, l’article </w:t>
      </w:r>
      <w:r w:rsidR="006D0D8F" w:rsidRPr="006D0D8F">
        <w:rPr>
          <w:i/>
        </w:rPr>
        <w:t>Egalité</w:t>
      </w:r>
      <w:r w:rsidR="00B25EB0">
        <w:t>.</w:t>
      </w:r>
    </w:p>
    <w:p w14:paraId="1B70AA6F" w14:textId="452C9A8C" w:rsidR="00FF0998" w:rsidRPr="00C4758E" w:rsidRDefault="00FF0998" w:rsidP="007F3465">
      <w:pPr>
        <w:spacing w:after="0"/>
      </w:pPr>
      <w:r w:rsidRPr="007F3465">
        <w:rPr>
          <w:i/>
        </w:rPr>
        <w:t>Candide</w:t>
      </w:r>
      <w:r>
        <w:t xml:space="preserve"> de Voltaire (extrait du chapitre III, le nègre de Surinam)</w:t>
      </w:r>
    </w:p>
    <w:p w14:paraId="50539E5F" w14:textId="77777777" w:rsidR="00DF5CEB" w:rsidRDefault="00D41EAC" w:rsidP="007F3465">
      <w:pPr>
        <w:spacing w:after="0"/>
      </w:pPr>
      <w:r w:rsidRPr="00C4758E">
        <w:t xml:space="preserve">Article liberté de </w:t>
      </w:r>
      <w:r w:rsidRPr="007F3465">
        <w:rPr>
          <w:i/>
        </w:rPr>
        <w:t>l’Encyclopédie</w:t>
      </w:r>
      <w:r w:rsidR="005D0D63">
        <w:t xml:space="preserve"> de d’Alembert et Diderot</w:t>
      </w:r>
    </w:p>
    <w:p w14:paraId="3B41F99B" w14:textId="31E7B5D3" w:rsidR="005D0D63" w:rsidRDefault="005D0D63" w:rsidP="007F3465">
      <w:pPr>
        <w:spacing w:after="0"/>
      </w:pPr>
      <w:r>
        <w:t>Déclaration des droits de l’homme et du citoyen</w:t>
      </w:r>
      <w:r w:rsidR="007F3465">
        <w:t xml:space="preserve"> et D</w:t>
      </w:r>
      <w:r w:rsidR="00DF5CEB">
        <w:t>éclaration universelle des droits de l’Homme</w:t>
      </w:r>
    </w:p>
    <w:p w14:paraId="5F1C51BA" w14:textId="3BC5F8C2" w:rsidR="00DF5CEB" w:rsidRDefault="00DF5CEB" w:rsidP="007F3465">
      <w:pPr>
        <w:spacing w:after="0"/>
      </w:pPr>
      <w:r>
        <w:t>Le Code civil, le Code pénal, le Code de la route</w:t>
      </w:r>
    </w:p>
    <w:p w14:paraId="181A106B" w14:textId="05927C57" w:rsidR="005D0D63" w:rsidRDefault="005D0D63" w:rsidP="007F3465">
      <w:pPr>
        <w:spacing w:after="0"/>
      </w:pPr>
      <w:r>
        <w:t>Les Unes des grands quotidiens après les attentats de janvier 2015 (le Figaro, l’Humanité, Libération, le Monde)</w:t>
      </w:r>
    </w:p>
    <w:p w14:paraId="11B913FF" w14:textId="33FD1C6D" w:rsidR="005D0D63" w:rsidRPr="00C4758E" w:rsidRDefault="000B2968" w:rsidP="007F3465">
      <w:r>
        <w:t xml:space="preserve">Quelques maximes sur la liberté et le respect d’autrui extraites du document </w:t>
      </w:r>
      <w:proofErr w:type="spellStart"/>
      <w:r>
        <w:t>Eduscol</w:t>
      </w:r>
      <w:proofErr w:type="spellEnd"/>
      <w:r>
        <w:t xml:space="preserve"> : </w:t>
      </w:r>
      <w:hyperlink r:id="rId9" w:history="1">
        <w:r w:rsidR="007F3465" w:rsidRPr="0093514E">
          <w:rPr>
            <w:rStyle w:val="Lienhypertexte"/>
          </w:rPr>
          <w:t>http://media.eduscol.education.fr/file/Morale/62/8/morale_maximes_190628.pdf</w:t>
        </w:r>
      </w:hyperlink>
      <w:r w:rsidR="007F3465">
        <w:t xml:space="preserve"> </w:t>
      </w:r>
    </w:p>
    <w:p w14:paraId="3413F94D" w14:textId="7D3495E2" w:rsidR="004E3B83" w:rsidRPr="001E4096" w:rsidRDefault="00F53658" w:rsidP="001E4096">
      <w:pPr>
        <w:pStyle w:val="Paragraphedeliste"/>
        <w:numPr>
          <w:ilvl w:val="0"/>
          <w:numId w:val="23"/>
        </w:numPr>
        <w:rPr>
          <w:b/>
        </w:rPr>
      </w:pPr>
      <w:r w:rsidRPr="001E4096">
        <w:rPr>
          <w:b/>
        </w:rPr>
        <w:t>Démarche</w:t>
      </w:r>
      <w:r w:rsidR="00B62CF2">
        <w:rPr>
          <w:b/>
        </w:rPr>
        <w:t xml:space="preserve"> </w:t>
      </w:r>
    </w:p>
    <w:p w14:paraId="244B9F13" w14:textId="78D276B3" w:rsidR="00FF0998" w:rsidRDefault="004E3B83" w:rsidP="00FF0998">
      <w:pPr>
        <w:pStyle w:val="Paragraphedeliste"/>
        <w:numPr>
          <w:ilvl w:val="0"/>
          <w:numId w:val="16"/>
        </w:numPr>
      </w:pPr>
      <w:r>
        <w:t>Découverte de l’ensemble du corpus donné en début d’EPI</w:t>
      </w:r>
      <w:r w:rsidR="00FF0998">
        <w:t xml:space="preserve"> </w:t>
      </w:r>
    </w:p>
    <w:p w14:paraId="335E6E01" w14:textId="72205411" w:rsidR="004E3B83" w:rsidRDefault="004E3B83" w:rsidP="00FF0998">
      <w:pPr>
        <w:pStyle w:val="Paragraphedeliste"/>
      </w:pPr>
      <w:r>
        <w:t>Repérer et situer dans le temps et l’espace</w:t>
      </w:r>
      <w:r w:rsidR="00FF0998">
        <w:t xml:space="preserve"> les auteurs et textes du corpus</w:t>
      </w:r>
    </w:p>
    <w:p w14:paraId="5D45FD7F" w14:textId="639FD1E7" w:rsidR="000B2968" w:rsidRDefault="000B2968" w:rsidP="000B2968">
      <w:pPr>
        <w:pStyle w:val="Paragraphedeliste"/>
        <w:numPr>
          <w:ilvl w:val="0"/>
          <w:numId w:val="16"/>
        </w:numPr>
      </w:pPr>
      <w:r>
        <w:t>Présentation des étapes de la démarche de projet : objectifs, stratégie et planification avec les élèves</w:t>
      </w:r>
    </w:p>
    <w:p w14:paraId="6E9A52D0" w14:textId="2479A475" w:rsidR="00F04CE4" w:rsidRDefault="00F04CE4" w:rsidP="004E3B83">
      <w:pPr>
        <w:pStyle w:val="Paragraphedeliste"/>
        <w:numPr>
          <w:ilvl w:val="0"/>
          <w:numId w:val="16"/>
        </w:numPr>
      </w:pPr>
      <w:r>
        <w:t>Pistes de recherche possibles (mais ce ne sont que des pistes, ce sont les élèves eux-mêmes qui montent le projet)</w:t>
      </w:r>
    </w:p>
    <w:p w14:paraId="3E7C8DA6" w14:textId="56AAB97A" w:rsidR="004E3B83" w:rsidRDefault="004E3B83" w:rsidP="00F04CE4">
      <w:pPr>
        <w:pStyle w:val="Paragraphedeliste"/>
        <w:numPr>
          <w:ilvl w:val="1"/>
          <w:numId w:val="16"/>
        </w:numPr>
      </w:pPr>
      <w:r>
        <w:t>Recherche au CDI sur la biographie de Montesquieu</w:t>
      </w:r>
      <w:r w:rsidR="005A1796">
        <w:t xml:space="preserve"> et le procédé d’écriture des lettres persanes (« le détour persan »)</w:t>
      </w:r>
    </w:p>
    <w:p w14:paraId="2729DA0D" w14:textId="5CC82DCF" w:rsidR="005F5109" w:rsidRDefault="005F5109" w:rsidP="00F04CE4">
      <w:pPr>
        <w:pStyle w:val="Paragraphedeliste"/>
        <w:numPr>
          <w:ilvl w:val="1"/>
          <w:numId w:val="16"/>
        </w:numPr>
      </w:pPr>
      <w:r>
        <w:t>Recherche sur l’</w:t>
      </w:r>
      <w:r w:rsidRPr="007F3465">
        <w:rPr>
          <w:i/>
        </w:rPr>
        <w:t xml:space="preserve">Encyclopédie </w:t>
      </w:r>
      <w:r>
        <w:t>des Lumières et analyse de l’article « liberté »</w:t>
      </w:r>
    </w:p>
    <w:p w14:paraId="069248E7" w14:textId="2DAC5623" w:rsidR="005F5109" w:rsidRDefault="005F5109" w:rsidP="00F04CE4">
      <w:pPr>
        <w:pStyle w:val="Paragraphedeliste"/>
        <w:numPr>
          <w:ilvl w:val="1"/>
          <w:numId w:val="16"/>
        </w:numPr>
      </w:pPr>
      <w:r>
        <w:t xml:space="preserve">Recherche sur Voltaire </w:t>
      </w:r>
    </w:p>
    <w:p w14:paraId="670D17AB" w14:textId="1DED76BE" w:rsidR="005A1796" w:rsidRDefault="005A1796" w:rsidP="00F04CE4">
      <w:pPr>
        <w:pStyle w:val="Paragraphedeliste"/>
        <w:numPr>
          <w:ilvl w:val="1"/>
          <w:numId w:val="16"/>
        </w:numPr>
      </w:pPr>
      <w:r>
        <w:t xml:space="preserve">EMC : </w:t>
      </w:r>
      <w:r w:rsidR="00FF0998">
        <w:t xml:space="preserve">réflexion sur les termes du </w:t>
      </w:r>
      <w:r w:rsidR="005F5109">
        <w:t>sujet</w:t>
      </w:r>
      <w:r w:rsidR="000B2968">
        <w:t xml:space="preserve"> à l’aide des maximes</w:t>
      </w:r>
      <w:r w:rsidR="005F5109">
        <w:t>, rencontres</w:t>
      </w:r>
      <w:r w:rsidR="00FF0998">
        <w:t xml:space="preserve"> avec la maison de la justice et</w:t>
      </w:r>
      <w:r w:rsidR="00C4758E">
        <w:t xml:space="preserve"> sortie au Figaro</w:t>
      </w:r>
      <w:r w:rsidR="00F04CE4">
        <w:t>, prendre en compte l’actualité</w:t>
      </w:r>
    </w:p>
    <w:p w14:paraId="106A9AC1" w14:textId="224B35EE" w:rsidR="001E4096" w:rsidRDefault="00C4758E" w:rsidP="001E4096">
      <w:pPr>
        <w:pStyle w:val="Paragraphedeliste"/>
        <w:numPr>
          <w:ilvl w:val="0"/>
          <w:numId w:val="16"/>
        </w:numPr>
      </w:pPr>
      <w:r>
        <w:t>Travail d’écriture collaborativ</w:t>
      </w:r>
      <w:r w:rsidR="00B62CF2">
        <w:t>e avec l’</w:t>
      </w:r>
      <w:proofErr w:type="spellStart"/>
      <w:r w:rsidR="00B62CF2">
        <w:t>edupad</w:t>
      </w:r>
      <w:proofErr w:type="spellEnd"/>
      <w:r w:rsidR="00B62CF2">
        <w:t xml:space="preserve"> </w:t>
      </w:r>
    </w:p>
    <w:p w14:paraId="3A60C2AE" w14:textId="7D6F9703" w:rsidR="00B62CF2" w:rsidRDefault="00B62CF2" w:rsidP="001E4096">
      <w:pPr>
        <w:pStyle w:val="Paragraphedeliste"/>
        <w:numPr>
          <w:ilvl w:val="0"/>
          <w:numId w:val="16"/>
        </w:numPr>
      </w:pPr>
      <w:r>
        <w:t xml:space="preserve">Création du recueil de textes avec le site </w:t>
      </w:r>
      <w:proofErr w:type="spellStart"/>
      <w:r>
        <w:t>Lecriveron</w:t>
      </w:r>
      <w:proofErr w:type="spellEnd"/>
    </w:p>
    <w:p w14:paraId="5B191135" w14:textId="77777777" w:rsidR="001E4096" w:rsidRDefault="001E4096" w:rsidP="001E4096">
      <w:pPr>
        <w:pStyle w:val="Paragraphedeliste"/>
      </w:pPr>
    </w:p>
    <w:p w14:paraId="4EF9C5CA" w14:textId="77777777" w:rsidR="00BB1535" w:rsidRPr="001E4096" w:rsidRDefault="00C4016B" w:rsidP="007F3465">
      <w:pPr>
        <w:pStyle w:val="Paragraphedeliste"/>
        <w:numPr>
          <w:ilvl w:val="0"/>
          <w:numId w:val="23"/>
        </w:numPr>
        <w:spacing w:after="0"/>
        <w:rPr>
          <w:b/>
        </w:rPr>
      </w:pPr>
      <w:r w:rsidRPr="001E4096">
        <w:rPr>
          <w:b/>
        </w:rPr>
        <w:t xml:space="preserve">Partenaires : </w:t>
      </w:r>
    </w:p>
    <w:p w14:paraId="038297BD" w14:textId="77777777" w:rsidR="00F53658" w:rsidRDefault="00F53658" w:rsidP="007F3465">
      <w:pPr>
        <w:spacing w:after="0"/>
      </w:pPr>
      <w:r>
        <w:t>La maison de la justice et du droit des Mureaux</w:t>
      </w:r>
    </w:p>
    <w:p w14:paraId="431755B1" w14:textId="5038FDCE" w:rsidR="00BB1535" w:rsidRDefault="00BB1535">
      <w:r>
        <w:t>Journal</w:t>
      </w:r>
      <w:r w:rsidR="00C4016B">
        <w:t xml:space="preserve"> </w:t>
      </w:r>
      <w:r w:rsidR="00C4016B" w:rsidRPr="00BB1535">
        <w:rPr>
          <w:u w:val="single"/>
        </w:rPr>
        <w:t>le Figaro</w:t>
      </w:r>
      <w:r w:rsidR="004E3B83">
        <w:rPr>
          <w:u w:val="single"/>
        </w:rPr>
        <w:t xml:space="preserve"> </w:t>
      </w:r>
      <w:r w:rsidR="004E3B83" w:rsidRPr="004E3B83">
        <w:t xml:space="preserve">(en lien avec l’étude de l’extrait du </w:t>
      </w:r>
      <w:r w:rsidR="007F3465" w:rsidRPr="007F3465">
        <w:rPr>
          <w:i/>
        </w:rPr>
        <w:t>M</w:t>
      </w:r>
      <w:r w:rsidR="004E3B83" w:rsidRPr="007F3465">
        <w:rPr>
          <w:i/>
        </w:rPr>
        <w:t>ariage de Figaro</w:t>
      </w:r>
      <w:r w:rsidR="004E3B83">
        <w:t xml:space="preserve"> en Français et EMC)</w:t>
      </w:r>
    </w:p>
    <w:p w14:paraId="0206F544" w14:textId="05DAC068" w:rsidR="00D41EAC" w:rsidRPr="001E4096" w:rsidRDefault="00C4016B" w:rsidP="007F3465">
      <w:pPr>
        <w:pStyle w:val="Paragraphedeliste"/>
        <w:numPr>
          <w:ilvl w:val="0"/>
          <w:numId w:val="23"/>
        </w:numPr>
        <w:spacing w:after="0"/>
        <w:rPr>
          <w:b/>
        </w:rPr>
      </w:pPr>
      <w:r w:rsidRPr="001E4096">
        <w:rPr>
          <w:b/>
        </w:rPr>
        <w:t>Evaluation </w:t>
      </w:r>
      <w:r w:rsidR="004E3B83" w:rsidRPr="001E4096">
        <w:rPr>
          <w:b/>
        </w:rPr>
        <w:t>et valorisation de la production</w:t>
      </w:r>
    </w:p>
    <w:p w14:paraId="1B65F87C" w14:textId="77777777" w:rsidR="007227B7" w:rsidRDefault="00C4016B" w:rsidP="007227B7">
      <w:pPr>
        <w:spacing w:after="0" w:line="240" w:lineRule="auto"/>
      </w:pPr>
      <w:r w:rsidRPr="00BB1535">
        <w:t>Contrôle commun des connaissances et compétences français-histoire</w:t>
      </w:r>
      <w:r w:rsidR="00BB1535">
        <w:t>-EMC</w:t>
      </w:r>
    </w:p>
    <w:p w14:paraId="360E4F5C" w14:textId="58E9C636" w:rsidR="00C4016B" w:rsidRDefault="00C4016B" w:rsidP="007227B7">
      <w:pPr>
        <w:spacing w:after="0" w:line="240" w:lineRule="auto"/>
      </w:pPr>
      <w:r w:rsidRPr="00BB1535">
        <w:t xml:space="preserve">Auto-évaluation des savoir-être </w:t>
      </w:r>
    </w:p>
    <w:p w14:paraId="06A858A3" w14:textId="51EF8CCA" w:rsidR="000B2968" w:rsidRPr="00BB1535" w:rsidRDefault="000B2968" w:rsidP="007227B7">
      <w:pPr>
        <w:spacing w:after="0" w:line="240" w:lineRule="auto"/>
      </w:pPr>
      <w:r>
        <w:t>Elaboration d’une grille de critères de réussite pour la rédaction de la lettre persane et évaluation par étapes</w:t>
      </w:r>
    </w:p>
    <w:p w14:paraId="030F9688" w14:textId="2A830CC6" w:rsidR="00C4016B" w:rsidRDefault="00C4016B" w:rsidP="007227B7">
      <w:pPr>
        <w:spacing w:after="0" w:line="240" w:lineRule="auto"/>
      </w:pPr>
      <w:r w:rsidRPr="00BB1535">
        <w:t xml:space="preserve">Envoi du recueil au journaliste-partenaire du Figaro </w:t>
      </w:r>
      <w:r w:rsidR="00BB1535" w:rsidRPr="00BB1535">
        <w:t>qui sélectionne la meilleure lettre persane</w:t>
      </w:r>
    </w:p>
    <w:p w14:paraId="008DE418" w14:textId="77777777" w:rsidR="007227B7" w:rsidRPr="00BB1535" w:rsidRDefault="007227B7" w:rsidP="007227B7">
      <w:pPr>
        <w:spacing w:after="0" w:line="240" w:lineRule="auto"/>
      </w:pPr>
    </w:p>
    <w:p w14:paraId="5ACB0AE8" w14:textId="05D5D9C8" w:rsidR="00C4016B" w:rsidRPr="007227B7" w:rsidRDefault="00BB1535" w:rsidP="007227B7">
      <w:pPr>
        <w:pStyle w:val="Paragraphedeliste"/>
        <w:numPr>
          <w:ilvl w:val="0"/>
          <w:numId w:val="23"/>
        </w:numPr>
        <w:rPr>
          <w:b/>
        </w:rPr>
      </w:pPr>
      <w:r w:rsidRPr="001E4096">
        <w:rPr>
          <w:b/>
        </w:rPr>
        <w:t>Calendrier </w:t>
      </w:r>
      <w:r w:rsidRPr="00C4758E">
        <w:t>: septembre-janvier</w:t>
      </w:r>
      <w:r w:rsidR="00C4758E" w:rsidRPr="00C4758E">
        <w:t xml:space="preserve"> deux heures </w:t>
      </w:r>
      <w:r w:rsidR="007227B7" w:rsidRPr="007227B7">
        <w:t>hebdomadaires (</w:t>
      </w:r>
      <w:r w:rsidR="007227B7">
        <w:t>ce qui représente une séquence de français, une séquence d’histoire et la totalité des heures d’EMC dans la mesure où le projet permettra de traiter les notions de liberté et de justice, et de travailler l’éducation aux médias).</w:t>
      </w:r>
    </w:p>
    <w:sectPr w:rsidR="00C4016B" w:rsidRPr="007227B7" w:rsidSect="00913FA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5919"/>
    <w:multiLevelType w:val="hybridMultilevel"/>
    <w:tmpl w:val="BEC41F4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F239EC"/>
    <w:multiLevelType w:val="multilevel"/>
    <w:tmpl w:val="92B823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2D2013"/>
    <w:multiLevelType w:val="multilevel"/>
    <w:tmpl w:val="42C8634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nsid w:val="0B461B10"/>
    <w:multiLevelType w:val="multilevel"/>
    <w:tmpl w:val="D38C5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005BE2"/>
    <w:multiLevelType w:val="multilevel"/>
    <w:tmpl w:val="5C048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57483C"/>
    <w:multiLevelType w:val="hybridMultilevel"/>
    <w:tmpl w:val="BCFEF7E4"/>
    <w:lvl w:ilvl="0" w:tplc="C158EABC">
      <w:start w:val="13"/>
      <w:numFmt w:val="bullet"/>
      <w:lvlText w:val="-"/>
      <w:lvlJc w:val="left"/>
      <w:pPr>
        <w:ind w:left="765" w:hanging="360"/>
      </w:pPr>
      <w:rPr>
        <w:rFonts w:ascii="Calibri" w:eastAsiaTheme="minorHAnsi" w:hAnsi="Calibri" w:cstheme="minorBidi"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6">
    <w:nsid w:val="1BB51529"/>
    <w:multiLevelType w:val="multilevel"/>
    <w:tmpl w:val="D34C8DA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7">
    <w:nsid w:val="1C9B1475"/>
    <w:multiLevelType w:val="multilevel"/>
    <w:tmpl w:val="DD2C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AC2570"/>
    <w:multiLevelType w:val="multilevel"/>
    <w:tmpl w:val="0ADC16F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9">
    <w:nsid w:val="27D975EE"/>
    <w:multiLevelType w:val="hybridMultilevel"/>
    <w:tmpl w:val="EC90F91C"/>
    <w:lvl w:ilvl="0" w:tplc="C158EABC">
      <w:start w:val="1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B96602A"/>
    <w:multiLevelType w:val="hybridMultilevel"/>
    <w:tmpl w:val="AF364D66"/>
    <w:lvl w:ilvl="0" w:tplc="C158EABC">
      <w:start w:val="13"/>
      <w:numFmt w:val="bullet"/>
      <w:lvlText w:val="-"/>
      <w:lvlJc w:val="left"/>
      <w:pPr>
        <w:ind w:left="765" w:hanging="360"/>
      </w:pPr>
      <w:rPr>
        <w:rFonts w:ascii="Calibri" w:eastAsiaTheme="minorHAnsi" w:hAnsi="Calibri" w:cstheme="minorBidi"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1">
    <w:nsid w:val="341842A9"/>
    <w:multiLevelType w:val="hybridMultilevel"/>
    <w:tmpl w:val="E76217A0"/>
    <w:lvl w:ilvl="0" w:tplc="040C0005">
      <w:start w:val="1"/>
      <w:numFmt w:val="bullet"/>
      <w:lvlText w:val=""/>
      <w:lvlJc w:val="left"/>
      <w:pPr>
        <w:ind w:left="720" w:hanging="360"/>
      </w:pPr>
      <w:rPr>
        <w:rFonts w:ascii="Wingdings" w:hAnsi="Wingding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9775981"/>
    <w:multiLevelType w:val="multilevel"/>
    <w:tmpl w:val="02A26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352400"/>
    <w:multiLevelType w:val="hybridMultilevel"/>
    <w:tmpl w:val="529CAD5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CCD090E"/>
    <w:multiLevelType w:val="multilevel"/>
    <w:tmpl w:val="F7EA88C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5">
    <w:nsid w:val="4CDB37B8"/>
    <w:multiLevelType w:val="multilevel"/>
    <w:tmpl w:val="8932B1D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6">
    <w:nsid w:val="501F0235"/>
    <w:multiLevelType w:val="multilevel"/>
    <w:tmpl w:val="B76AE13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7">
    <w:nsid w:val="57FF24DE"/>
    <w:multiLevelType w:val="multilevel"/>
    <w:tmpl w:val="10DC311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8">
    <w:nsid w:val="5C4A50CB"/>
    <w:multiLevelType w:val="hybridMultilevel"/>
    <w:tmpl w:val="AFBAF080"/>
    <w:lvl w:ilvl="0" w:tplc="C158EABC">
      <w:start w:val="1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28C5D71"/>
    <w:multiLevelType w:val="multilevel"/>
    <w:tmpl w:val="EEBA0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652291F"/>
    <w:multiLevelType w:val="multilevel"/>
    <w:tmpl w:val="98707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6200170"/>
    <w:multiLevelType w:val="hybridMultilevel"/>
    <w:tmpl w:val="5E149A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77A40DC2"/>
    <w:multiLevelType w:val="multilevel"/>
    <w:tmpl w:val="E346BAF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3">
    <w:nsid w:val="7B067145"/>
    <w:multiLevelType w:val="multilevel"/>
    <w:tmpl w:val="88F6DED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21"/>
  </w:num>
  <w:num w:numId="2">
    <w:abstractNumId w:val="18"/>
  </w:num>
  <w:num w:numId="3">
    <w:abstractNumId w:val="9"/>
  </w:num>
  <w:num w:numId="4">
    <w:abstractNumId w:val="5"/>
  </w:num>
  <w:num w:numId="5">
    <w:abstractNumId w:val="10"/>
  </w:num>
  <w:num w:numId="6">
    <w:abstractNumId w:val="3"/>
  </w:num>
  <w:num w:numId="7">
    <w:abstractNumId w:val="6"/>
  </w:num>
  <w:num w:numId="8">
    <w:abstractNumId w:val="14"/>
  </w:num>
  <w:num w:numId="9">
    <w:abstractNumId w:val="22"/>
  </w:num>
  <w:num w:numId="10">
    <w:abstractNumId w:val="17"/>
  </w:num>
  <w:num w:numId="11">
    <w:abstractNumId w:val="8"/>
  </w:num>
  <w:num w:numId="12">
    <w:abstractNumId w:val="15"/>
  </w:num>
  <w:num w:numId="13">
    <w:abstractNumId w:val="16"/>
  </w:num>
  <w:num w:numId="14">
    <w:abstractNumId w:val="23"/>
  </w:num>
  <w:num w:numId="15">
    <w:abstractNumId w:val="2"/>
  </w:num>
  <w:num w:numId="16">
    <w:abstractNumId w:val="11"/>
  </w:num>
  <w:num w:numId="17">
    <w:abstractNumId w:val="4"/>
  </w:num>
  <w:num w:numId="18">
    <w:abstractNumId w:val="20"/>
  </w:num>
  <w:num w:numId="19">
    <w:abstractNumId w:val="19"/>
  </w:num>
  <w:num w:numId="20">
    <w:abstractNumId w:val="7"/>
  </w:num>
  <w:num w:numId="21">
    <w:abstractNumId w:val="12"/>
  </w:num>
  <w:num w:numId="22">
    <w:abstractNumId w:val="0"/>
  </w:num>
  <w:num w:numId="23">
    <w:abstractNumId w:val="13"/>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64D"/>
    <w:rsid w:val="00052A42"/>
    <w:rsid w:val="000A73A6"/>
    <w:rsid w:val="000B2968"/>
    <w:rsid w:val="000B67A0"/>
    <w:rsid w:val="00165757"/>
    <w:rsid w:val="001C0D24"/>
    <w:rsid w:val="001E4096"/>
    <w:rsid w:val="00213F5A"/>
    <w:rsid w:val="00237BB7"/>
    <w:rsid w:val="00243D2E"/>
    <w:rsid w:val="00273AF0"/>
    <w:rsid w:val="002F2FF4"/>
    <w:rsid w:val="00360643"/>
    <w:rsid w:val="003A37ED"/>
    <w:rsid w:val="003A7F71"/>
    <w:rsid w:val="00400001"/>
    <w:rsid w:val="004D53ED"/>
    <w:rsid w:val="004E3B83"/>
    <w:rsid w:val="005548F5"/>
    <w:rsid w:val="005A1796"/>
    <w:rsid w:val="005C72F7"/>
    <w:rsid w:val="005D0D63"/>
    <w:rsid w:val="005F5109"/>
    <w:rsid w:val="0062738E"/>
    <w:rsid w:val="00637403"/>
    <w:rsid w:val="006830A2"/>
    <w:rsid w:val="006A25C4"/>
    <w:rsid w:val="006B4E89"/>
    <w:rsid w:val="006D0D8F"/>
    <w:rsid w:val="00713866"/>
    <w:rsid w:val="007227B7"/>
    <w:rsid w:val="007D3E7A"/>
    <w:rsid w:val="007D75BC"/>
    <w:rsid w:val="007F3465"/>
    <w:rsid w:val="0082464D"/>
    <w:rsid w:val="00842956"/>
    <w:rsid w:val="008B0DE8"/>
    <w:rsid w:val="008E46D3"/>
    <w:rsid w:val="00913FAD"/>
    <w:rsid w:val="0095247D"/>
    <w:rsid w:val="00960257"/>
    <w:rsid w:val="009649B5"/>
    <w:rsid w:val="009E35AC"/>
    <w:rsid w:val="00B25EB0"/>
    <w:rsid w:val="00B53976"/>
    <w:rsid w:val="00B62CF2"/>
    <w:rsid w:val="00B67282"/>
    <w:rsid w:val="00B829CD"/>
    <w:rsid w:val="00BA0E09"/>
    <w:rsid w:val="00BB1535"/>
    <w:rsid w:val="00C108A1"/>
    <w:rsid w:val="00C33660"/>
    <w:rsid w:val="00C4016B"/>
    <w:rsid w:val="00C4758E"/>
    <w:rsid w:val="00C5078B"/>
    <w:rsid w:val="00C713E8"/>
    <w:rsid w:val="00CA34A9"/>
    <w:rsid w:val="00D1529E"/>
    <w:rsid w:val="00D15FD1"/>
    <w:rsid w:val="00D41EAC"/>
    <w:rsid w:val="00D650DE"/>
    <w:rsid w:val="00DF5CEB"/>
    <w:rsid w:val="00E47614"/>
    <w:rsid w:val="00E64BD6"/>
    <w:rsid w:val="00E921F9"/>
    <w:rsid w:val="00EA77B6"/>
    <w:rsid w:val="00EB698D"/>
    <w:rsid w:val="00EB793E"/>
    <w:rsid w:val="00EF7FFC"/>
    <w:rsid w:val="00F04CE4"/>
    <w:rsid w:val="00F53658"/>
    <w:rsid w:val="00F715B5"/>
    <w:rsid w:val="00F84804"/>
    <w:rsid w:val="00FA77F0"/>
    <w:rsid w:val="00FD7420"/>
    <w:rsid w:val="00FE6E81"/>
    <w:rsid w:val="00FF09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33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64BD6"/>
    <w:pPr>
      <w:ind w:left="720"/>
      <w:contextualSpacing/>
    </w:pPr>
  </w:style>
  <w:style w:type="table" w:styleId="Grilledutableau">
    <w:name w:val="Table Grid"/>
    <w:basedOn w:val="TableauNormal"/>
    <w:uiPriority w:val="59"/>
    <w:rsid w:val="00E476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15FD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C108A1"/>
  </w:style>
  <w:style w:type="paragraph" w:styleId="Textedebulles">
    <w:name w:val="Balloon Text"/>
    <w:basedOn w:val="Normal"/>
    <w:link w:val="TextedebullesCar"/>
    <w:uiPriority w:val="99"/>
    <w:semiHidden/>
    <w:unhideWhenUsed/>
    <w:rsid w:val="007F34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F3465"/>
    <w:rPr>
      <w:rFonts w:ascii="Tahoma" w:hAnsi="Tahoma" w:cs="Tahoma"/>
      <w:sz w:val="16"/>
      <w:szCs w:val="16"/>
    </w:rPr>
  </w:style>
  <w:style w:type="character" w:styleId="Lienhypertexte">
    <w:name w:val="Hyperlink"/>
    <w:basedOn w:val="Policepardfaut"/>
    <w:uiPriority w:val="99"/>
    <w:unhideWhenUsed/>
    <w:rsid w:val="007F34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64BD6"/>
    <w:pPr>
      <w:ind w:left="720"/>
      <w:contextualSpacing/>
    </w:pPr>
  </w:style>
  <w:style w:type="table" w:styleId="Grilledutableau">
    <w:name w:val="Table Grid"/>
    <w:basedOn w:val="TableauNormal"/>
    <w:uiPriority w:val="59"/>
    <w:rsid w:val="00E476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15FD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C108A1"/>
  </w:style>
  <w:style w:type="paragraph" w:styleId="Textedebulles">
    <w:name w:val="Balloon Text"/>
    <w:basedOn w:val="Normal"/>
    <w:link w:val="TextedebullesCar"/>
    <w:uiPriority w:val="99"/>
    <w:semiHidden/>
    <w:unhideWhenUsed/>
    <w:rsid w:val="007F34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F3465"/>
    <w:rPr>
      <w:rFonts w:ascii="Tahoma" w:hAnsi="Tahoma" w:cs="Tahoma"/>
      <w:sz w:val="16"/>
      <w:szCs w:val="16"/>
    </w:rPr>
  </w:style>
  <w:style w:type="character" w:styleId="Lienhypertexte">
    <w:name w:val="Hyperlink"/>
    <w:basedOn w:val="Policepardfaut"/>
    <w:uiPriority w:val="99"/>
    <w:unhideWhenUsed/>
    <w:rsid w:val="007F34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602288">
      <w:bodyDiv w:val="1"/>
      <w:marLeft w:val="0"/>
      <w:marRight w:val="0"/>
      <w:marTop w:val="0"/>
      <w:marBottom w:val="0"/>
      <w:divBdr>
        <w:top w:val="none" w:sz="0" w:space="0" w:color="auto"/>
        <w:left w:val="none" w:sz="0" w:space="0" w:color="auto"/>
        <w:bottom w:val="none" w:sz="0" w:space="0" w:color="auto"/>
        <w:right w:val="none" w:sz="0" w:space="0" w:color="auto"/>
      </w:divBdr>
    </w:div>
    <w:div w:id="729495978">
      <w:bodyDiv w:val="1"/>
      <w:marLeft w:val="0"/>
      <w:marRight w:val="0"/>
      <w:marTop w:val="0"/>
      <w:marBottom w:val="0"/>
      <w:divBdr>
        <w:top w:val="none" w:sz="0" w:space="0" w:color="auto"/>
        <w:left w:val="none" w:sz="0" w:space="0" w:color="auto"/>
        <w:bottom w:val="none" w:sz="0" w:space="0" w:color="auto"/>
        <w:right w:val="none" w:sz="0" w:space="0" w:color="auto"/>
      </w:divBdr>
    </w:div>
    <w:div w:id="753431635">
      <w:bodyDiv w:val="1"/>
      <w:marLeft w:val="0"/>
      <w:marRight w:val="0"/>
      <w:marTop w:val="0"/>
      <w:marBottom w:val="0"/>
      <w:divBdr>
        <w:top w:val="none" w:sz="0" w:space="0" w:color="auto"/>
        <w:left w:val="none" w:sz="0" w:space="0" w:color="auto"/>
        <w:bottom w:val="none" w:sz="0" w:space="0" w:color="auto"/>
        <w:right w:val="none" w:sz="0" w:space="0" w:color="auto"/>
      </w:divBdr>
    </w:div>
    <w:div w:id="1105688500">
      <w:bodyDiv w:val="1"/>
      <w:marLeft w:val="0"/>
      <w:marRight w:val="0"/>
      <w:marTop w:val="0"/>
      <w:marBottom w:val="0"/>
      <w:divBdr>
        <w:top w:val="none" w:sz="0" w:space="0" w:color="auto"/>
        <w:left w:val="none" w:sz="0" w:space="0" w:color="auto"/>
        <w:bottom w:val="none" w:sz="0" w:space="0" w:color="auto"/>
        <w:right w:val="none" w:sz="0" w:space="0" w:color="auto"/>
      </w:divBdr>
    </w:div>
    <w:div w:id="1367364606">
      <w:bodyDiv w:val="1"/>
      <w:marLeft w:val="0"/>
      <w:marRight w:val="0"/>
      <w:marTop w:val="0"/>
      <w:marBottom w:val="0"/>
      <w:divBdr>
        <w:top w:val="none" w:sz="0" w:space="0" w:color="auto"/>
        <w:left w:val="none" w:sz="0" w:space="0" w:color="auto"/>
        <w:bottom w:val="none" w:sz="0" w:space="0" w:color="auto"/>
        <w:right w:val="none" w:sz="0" w:space="0" w:color="auto"/>
      </w:divBdr>
    </w:div>
    <w:div w:id="1407338665">
      <w:bodyDiv w:val="1"/>
      <w:marLeft w:val="0"/>
      <w:marRight w:val="0"/>
      <w:marTop w:val="0"/>
      <w:marBottom w:val="0"/>
      <w:divBdr>
        <w:top w:val="none" w:sz="0" w:space="0" w:color="auto"/>
        <w:left w:val="none" w:sz="0" w:space="0" w:color="auto"/>
        <w:bottom w:val="none" w:sz="0" w:space="0" w:color="auto"/>
        <w:right w:val="none" w:sz="0" w:space="0" w:color="auto"/>
      </w:divBdr>
    </w:div>
    <w:div w:id="1536305166">
      <w:bodyDiv w:val="1"/>
      <w:marLeft w:val="0"/>
      <w:marRight w:val="0"/>
      <w:marTop w:val="0"/>
      <w:marBottom w:val="0"/>
      <w:divBdr>
        <w:top w:val="none" w:sz="0" w:space="0" w:color="auto"/>
        <w:left w:val="none" w:sz="0" w:space="0" w:color="auto"/>
        <w:bottom w:val="none" w:sz="0" w:space="0" w:color="auto"/>
        <w:right w:val="none" w:sz="0" w:space="0" w:color="auto"/>
      </w:divBdr>
    </w:div>
    <w:div w:id="2007129089">
      <w:bodyDiv w:val="1"/>
      <w:marLeft w:val="0"/>
      <w:marRight w:val="0"/>
      <w:marTop w:val="0"/>
      <w:marBottom w:val="0"/>
      <w:divBdr>
        <w:top w:val="none" w:sz="0" w:space="0" w:color="auto"/>
        <w:left w:val="none" w:sz="0" w:space="0" w:color="auto"/>
        <w:bottom w:val="none" w:sz="0" w:space="0" w:color="auto"/>
        <w:right w:val="none" w:sz="0" w:space="0" w:color="auto"/>
      </w:divBdr>
    </w:div>
    <w:div w:id="211597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o.ens-lyon.fr/neo/formation/analyse/les-postures-enseignantes"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media.eduscol.education.fr/file/Morale/62/8/morale_maximes_190628.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B9436-02A3-426B-8492-7FACEC68E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1221</Words>
  <Characters>6718</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DSI-Rectorat de Versailles</Company>
  <LinksUpToDate>false</LinksUpToDate>
  <CharactersWithSpaces>7924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Yoga Maurecourt</dc:creator>
  <cp:lastModifiedBy>Marion Beillard</cp:lastModifiedBy>
  <cp:revision>6</cp:revision>
  <dcterms:created xsi:type="dcterms:W3CDTF">2016-02-02T08:04:00Z</dcterms:created>
  <dcterms:modified xsi:type="dcterms:W3CDTF">2016-02-02T08:05:00Z</dcterms:modified>
</cp:coreProperties>
</file>