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4C" w:rsidRPr="001F4E4C" w:rsidRDefault="001F4E4C" w:rsidP="001F4E4C">
      <w:pPr>
        <w:pBdr>
          <w:top w:val="single" w:sz="4" w:space="1" w:color="auto"/>
          <w:left w:val="single" w:sz="4" w:space="4" w:color="auto"/>
          <w:bottom w:val="single" w:sz="4" w:space="1" w:color="auto"/>
          <w:right w:val="single" w:sz="4" w:space="4" w:color="auto"/>
        </w:pBdr>
        <w:spacing w:after="0"/>
        <w:ind w:left="426" w:right="565"/>
        <w:rPr>
          <w:rFonts w:asciiTheme="minorHAnsi" w:hAnsiTheme="minorHAnsi"/>
          <w:b/>
        </w:rPr>
      </w:pPr>
      <w:r w:rsidRPr="001F4E4C">
        <w:rPr>
          <w:rFonts w:asciiTheme="minorHAnsi" w:hAnsiTheme="minorHAnsi"/>
          <w:b/>
        </w:rPr>
        <w:t>L’album de Lili jacob :</w:t>
      </w:r>
    </w:p>
    <w:p w:rsidR="001F4E4C" w:rsidRPr="001F4E4C" w:rsidRDefault="001F4E4C" w:rsidP="001F4E4C">
      <w:pPr>
        <w:pBdr>
          <w:top w:val="single" w:sz="4" w:space="1" w:color="auto"/>
          <w:left w:val="single" w:sz="4" w:space="4" w:color="auto"/>
          <w:bottom w:val="single" w:sz="4" w:space="1" w:color="auto"/>
          <w:right w:val="single" w:sz="4" w:space="4" w:color="auto"/>
        </w:pBdr>
        <w:spacing w:after="0"/>
        <w:ind w:left="426" w:right="565"/>
        <w:rPr>
          <w:rFonts w:asciiTheme="minorHAnsi" w:hAnsiTheme="minorHAnsi"/>
          <w:b/>
        </w:rPr>
      </w:pPr>
      <w:r w:rsidRPr="001F4E4C">
        <w:rPr>
          <w:rFonts w:asciiTheme="minorHAnsi" w:hAnsiTheme="minorHAnsi"/>
          <w:b/>
        </w:rPr>
        <w:t>Exploitation</w:t>
      </w:r>
      <w:r w:rsidR="00E7351E" w:rsidRPr="001F4E4C">
        <w:rPr>
          <w:rFonts w:asciiTheme="minorHAnsi" w:hAnsiTheme="minorHAnsi"/>
          <w:b/>
        </w:rPr>
        <w:t xml:space="preserve"> pédagogique</w:t>
      </w:r>
      <w:r w:rsidRPr="001F4E4C">
        <w:rPr>
          <w:rFonts w:asciiTheme="minorHAnsi" w:hAnsiTheme="minorHAnsi"/>
          <w:b/>
        </w:rPr>
        <w:t xml:space="preserve"> en classe de troisième</w:t>
      </w:r>
    </w:p>
    <w:p w:rsidR="00E7351E" w:rsidRPr="001F4E4C" w:rsidRDefault="00E7351E" w:rsidP="001F4E4C">
      <w:pPr>
        <w:spacing w:after="0"/>
        <w:ind w:left="426" w:right="565"/>
        <w:rPr>
          <w:rFonts w:asciiTheme="minorHAnsi" w:hAnsiTheme="minorHAnsi"/>
          <w:b/>
        </w:rPr>
      </w:pPr>
    </w:p>
    <w:p w:rsidR="001A6681" w:rsidRPr="001F4E4C" w:rsidRDefault="001A6681" w:rsidP="001F4E4C">
      <w:pPr>
        <w:spacing w:after="0"/>
        <w:ind w:left="426" w:right="565"/>
        <w:rPr>
          <w:rFonts w:asciiTheme="minorHAnsi" w:hAnsiTheme="minorHAnsi"/>
          <w:b/>
          <w:u w:val="single"/>
        </w:rPr>
      </w:pPr>
      <w:r w:rsidRPr="001F4E4C">
        <w:rPr>
          <w:rFonts w:asciiTheme="minorHAnsi" w:hAnsiTheme="minorHAnsi"/>
          <w:b/>
          <w:u w:val="single"/>
        </w:rPr>
        <w:t>Program</w:t>
      </w:r>
      <w:r w:rsidR="001F4E4C">
        <w:rPr>
          <w:rFonts w:asciiTheme="minorHAnsi" w:hAnsiTheme="minorHAnsi"/>
          <w:b/>
          <w:u w:val="single"/>
        </w:rPr>
        <w:t>m</w:t>
      </w:r>
      <w:r w:rsidRPr="001F4E4C">
        <w:rPr>
          <w:rFonts w:asciiTheme="minorHAnsi" w:hAnsiTheme="minorHAnsi"/>
          <w:b/>
          <w:u w:val="single"/>
        </w:rPr>
        <w:t>e</w:t>
      </w:r>
    </w:p>
    <w:p w:rsidR="001A6681" w:rsidRPr="001F4E4C" w:rsidRDefault="00E7351E" w:rsidP="001F4E4C">
      <w:pPr>
        <w:spacing w:after="0"/>
        <w:ind w:left="426" w:right="565"/>
        <w:rPr>
          <w:rFonts w:asciiTheme="minorHAnsi" w:hAnsiTheme="minorHAnsi"/>
        </w:rPr>
      </w:pPr>
      <w:r w:rsidRPr="001F4E4C">
        <w:rPr>
          <w:rFonts w:asciiTheme="minorHAnsi" w:hAnsiTheme="minorHAnsi"/>
        </w:rPr>
        <w:t>Cette étude s’inscrit dans le t</w:t>
      </w:r>
      <w:r w:rsidR="00CE5893" w:rsidRPr="001F4E4C">
        <w:rPr>
          <w:rFonts w:asciiTheme="minorHAnsi" w:hAnsiTheme="minorHAnsi"/>
        </w:rPr>
        <w:t>hème 3</w:t>
      </w:r>
      <w:r w:rsidRPr="001F4E4C">
        <w:rPr>
          <w:rFonts w:asciiTheme="minorHAnsi" w:hAnsiTheme="minorHAnsi"/>
        </w:rPr>
        <w:t xml:space="preserve"> du programme d’Histoire de troisième</w:t>
      </w:r>
      <w:r w:rsidR="00CE5893" w:rsidRPr="001F4E4C">
        <w:rPr>
          <w:rFonts w:asciiTheme="minorHAnsi" w:hAnsiTheme="minorHAnsi"/>
        </w:rPr>
        <w:t xml:space="preserve"> </w:t>
      </w:r>
      <w:r w:rsidR="001A6681" w:rsidRPr="001F4E4C">
        <w:rPr>
          <w:rFonts w:asciiTheme="minorHAnsi" w:hAnsiTheme="minorHAnsi"/>
        </w:rPr>
        <w:t>La Seconde Guerre mondiale, une guerre d’anéantissement (1939-1945)</w:t>
      </w:r>
    </w:p>
    <w:p w:rsidR="00CE5893" w:rsidRPr="001F4E4C" w:rsidRDefault="00CE5893" w:rsidP="001F4E4C">
      <w:pPr>
        <w:spacing w:after="0"/>
        <w:ind w:left="426" w:right="565"/>
        <w:rPr>
          <w:rFonts w:asciiTheme="minorHAnsi" w:hAnsiTheme="minorHAnsi"/>
        </w:rPr>
      </w:pPr>
    </w:p>
    <w:p w:rsidR="00CE5893" w:rsidRPr="001F4E4C" w:rsidRDefault="00CE5893" w:rsidP="001F4E4C">
      <w:pPr>
        <w:spacing w:after="0"/>
        <w:ind w:left="426" w:right="565"/>
        <w:rPr>
          <w:rFonts w:asciiTheme="minorHAnsi" w:hAnsiTheme="minorHAnsi"/>
          <w:b/>
          <w:u w:val="single"/>
        </w:rPr>
      </w:pPr>
      <w:r w:rsidRPr="001F4E4C">
        <w:rPr>
          <w:rFonts w:asciiTheme="minorHAnsi" w:hAnsiTheme="minorHAnsi"/>
          <w:b/>
          <w:u w:val="single"/>
        </w:rPr>
        <w:t>C</w:t>
      </w:r>
      <w:r w:rsidR="001F4E4C" w:rsidRPr="001F4E4C">
        <w:rPr>
          <w:rFonts w:asciiTheme="minorHAnsi" w:hAnsiTheme="minorHAnsi"/>
          <w:b/>
          <w:u w:val="single"/>
        </w:rPr>
        <w:t>onnaissances</w:t>
      </w:r>
    </w:p>
    <w:p w:rsidR="00CE5893" w:rsidRPr="001F4E4C" w:rsidRDefault="00CE5893" w:rsidP="001F4E4C">
      <w:pPr>
        <w:spacing w:after="0"/>
        <w:ind w:left="426" w:right="565"/>
        <w:rPr>
          <w:rFonts w:asciiTheme="minorHAnsi" w:hAnsiTheme="minorHAnsi"/>
        </w:rPr>
      </w:pPr>
      <w:r w:rsidRPr="001F4E4C">
        <w:rPr>
          <w:rFonts w:asciiTheme="minorHAnsi" w:hAnsiTheme="minorHAnsi"/>
        </w:rPr>
        <w:t>La  notion de génocide</w:t>
      </w:r>
    </w:p>
    <w:p w:rsidR="001F4E4C" w:rsidRPr="001F4E4C" w:rsidRDefault="001F4E4C" w:rsidP="001F4E4C">
      <w:pPr>
        <w:spacing w:after="0"/>
        <w:ind w:left="426" w:right="565"/>
        <w:rPr>
          <w:rFonts w:asciiTheme="minorHAnsi" w:hAnsiTheme="minorHAnsi"/>
        </w:rPr>
      </w:pPr>
    </w:p>
    <w:p w:rsidR="00CE5893" w:rsidRPr="001F4E4C" w:rsidRDefault="001F4E4C" w:rsidP="001F4E4C">
      <w:pPr>
        <w:spacing w:after="0"/>
        <w:ind w:left="426" w:right="565"/>
        <w:rPr>
          <w:rFonts w:asciiTheme="minorHAnsi" w:hAnsiTheme="minorHAnsi"/>
          <w:b/>
          <w:u w:val="single"/>
        </w:rPr>
      </w:pPr>
      <w:r w:rsidRPr="001F4E4C">
        <w:rPr>
          <w:rFonts w:asciiTheme="minorHAnsi" w:hAnsiTheme="minorHAnsi"/>
          <w:b/>
          <w:u w:val="single"/>
        </w:rPr>
        <w:t>Capacités</w:t>
      </w:r>
    </w:p>
    <w:p w:rsidR="00CE5893" w:rsidRPr="001F4E4C" w:rsidRDefault="00CE5893" w:rsidP="001F4E4C">
      <w:pPr>
        <w:spacing w:after="0"/>
        <w:ind w:left="426" w:right="565"/>
        <w:rPr>
          <w:rFonts w:asciiTheme="minorHAnsi" w:hAnsiTheme="minorHAnsi"/>
        </w:rPr>
      </w:pPr>
      <w:r w:rsidRPr="001F4E4C">
        <w:rPr>
          <w:rFonts w:asciiTheme="minorHAnsi" w:hAnsiTheme="minorHAnsi"/>
        </w:rPr>
        <w:t>Décrire et expliquer le processus de l’extermination</w:t>
      </w:r>
    </w:p>
    <w:p w:rsidR="001F4E4C" w:rsidRPr="001F4E4C" w:rsidRDefault="001F4E4C" w:rsidP="001F4E4C">
      <w:pPr>
        <w:spacing w:after="0"/>
        <w:ind w:left="426" w:right="565"/>
        <w:rPr>
          <w:rFonts w:asciiTheme="minorHAnsi" w:hAnsiTheme="minorHAnsi"/>
        </w:rPr>
      </w:pPr>
    </w:p>
    <w:p w:rsidR="00F30CEE" w:rsidRPr="001F4E4C" w:rsidRDefault="001F4E4C" w:rsidP="001F4E4C">
      <w:pPr>
        <w:spacing w:after="0"/>
        <w:ind w:left="426" w:right="565"/>
        <w:rPr>
          <w:rFonts w:asciiTheme="minorHAnsi" w:hAnsiTheme="minorHAnsi"/>
          <w:b/>
          <w:u w:val="single"/>
        </w:rPr>
      </w:pPr>
      <w:r w:rsidRPr="001F4E4C">
        <w:rPr>
          <w:rFonts w:asciiTheme="minorHAnsi" w:hAnsiTheme="minorHAnsi"/>
          <w:b/>
          <w:u w:val="single"/>
        </w:rPr>
        <w:t>Présentation</w:t>
      </w:r>
    </w:p>
    <w:p w:rsidR="001F4E4C" w:rsidRPr="001F4E4C" w:rsidRDefault="001A6681" w:rsidP="001F4E4C">
      <w:pPr>
        <w:spacing w:after="0"/>
        <w:ind w:left="426" w:right="565" w:firstLine="708"/>
        <w:rPr>
          <w:rFonts w:asciiTheme="minorHAnsi" w:hAnsiTheme="minorHAnsi"/>
        </w:rPr>
      </w:pPr>
      <w:r w:rsidRPr="001F4E4C">
        <w:rPr>
          <w:rFonts w:asciiTheme="minorHAnsi" w:hAnsiTheme="minorHAnsi"/>
        </w:rPr>
        <w:t>Il</w:t>
      </w:r>
      <w:r w:rsidR="00CE5893" w:rsidRPr="001F4E4C">
        <w:rPr>
          <w:rFonts w:asciiTheme="minorHAnsi" w:hAnsiTheme="minorHAnsi"/>
        </w:rPr>
        <w:t xml:space="preserve"> s’agit d’étudier le génocide des Juifs et des Tziganes en tenant compte des limites inhérentes à l’utilisation d’un document unique. </w:t>
      </w:r>
      <w:r w:rsidR="001F4E4C" w:rsidRPr="001F4E4C">
        <w:rPr>
          <w:rFonts w:asciiTheme="minorHAnsi" w:hAnsiTheme="minorHAnsi"/>
        </w:rPr>
        <w:t>Les programmes ainsi que l’épreuve du DNB incitent  en effet les professeurs à ne pas multiplier le nombre de documents et à questionner davantage le ou les documents choisis. Choisir l’album de Lili Jacob comme support au cours sur le génocide des Juifs et des Tziganes permet de répondre à ces exig</w:t>
      </w:r>
      <w:r w:rsidR="00D01552">
        <w:rPr>
          <w:rFonts w:asciiTheme="minorHAnsi" w:hAnsiTheme="minorHAnsi"/>
        </w:rPr>
        <w:t>ences. I</w:t>
      </w:r>
      <w:r w:rsidR="001F4E4C" w:rsidRPr="001F4E4C">
        <w:rPr>
          <w:rFonts w:asciiTheme="minorHAnsi" w:hAnsiTheme="minorHAnsi"/>
        </w:rPr>
        <w:t xml:space="preserve">l convient </w:t>
      </w:r>
      <w:r w:rsidR="00D01552">
        <w:rPr>
          <w:rFonts w:asciiTheme="minorHAnsi" w:hAnsiTheme="minorHAnsi"/>
        </w:rPr>
        <w:t xml:space="preserve">toutefois </w:t>
      </w:r>
      <w:r w:rsidR="001F4E4C" w:rsidRPr="001F4E4C">
        <w:rPr>
          <w:rFonts w:asciiTheme="minorHAnsi" w:hAnsiTheme="minorHAnsi"/>
        </w:rPr>
        <w:t>d’expliquer ce choix aux élèves et d’en montrer les limites. Se limiter à ce document ne permet d’aborder qu’une partie du sujet : le fonctionnement du centre de mise à mort de Birkenau au moment de  l’arrivée des convois de Hongrie entre le 15 mai et le 7 juin 1944. Durant cette période très brève, plus de 400 000 personnes furent assassinées. Mais cette source est essentielle et unique, car ce sont les seules</w:t>
      </w:r>
      <w:r w:rsidR="001F4E4C" w:rsidRPr="001F4E4C">
        <w:rPr>
          <w:rStyle w:val="Marquenotebasdepage"/>
          <w:rFonts w:asciiTheme="minorHAnsi" w:hAnsiTheme="minorHAnsi"/>
        </w:rPr>
        <w:footnoteReference w:id="-1"/>
      </w:r>
      <w:r w:rsidR="001F4E4C" w:rsidRPr="001F4E4C">
        <w:rPr>
          <w:rFonts w:asciiTheme="minorHAnsi" w:hAnsiTheme="minorHAnsi"/>
        </w:rPr>
        <w:t xml:space="preserve"> photographies que nous possédions représentant l’arrivée d’un convoi de Juifs à Birkenau et le processus de sélection. « </w:t>
      </w:r>
      <w:r w:rsidR="001F4E4C" w:rsidRPr="001F4E4C">
        <w:rPr>
          <w:rFonts w:asciiTheme="minorHAnsi" w:hAnsiTheme="minorHAnsi"/>
          <w:i/>
        </w:rPr>
        <w:t>L’album d’Auschwitz ne montre pas des morts mais les vivants</w:t>
      </w:r>
      <w:r w:rsidR="001F4E4C" w:rsidRPr="001F4E4C">
        <w:rPr>
          <w:rStyle w:val="Marquenotebasdepage"/>
          <w:rFonts w:asciiTheme="minorHAnsi" w:hAnsiTheme="minorHAnsi"/>
          <w:i/>
        </w:rPr>
        <w:footnoteReference w:id="0"/>
      </w:r>
      <w:r w:rsidR="001F4E4C" w:rsidRPr="001F4E4C">
        <w:rPr>
          <w:rFonts w:asciiTheme="minorHAnsi" w:hAnsiTheme="minorHAnsi"/>
        </w:rPr>
        <w:t> » et cela peut être l’occasion d’évoquer (même rapidement) la vie des communautés juives avant la guerre, dans une histoire européenne longue, ce qui est trop rarement abordé et pourtant essentiel pour étudier la destruction des juifs d’Europe.</w:t>
      </w:r>
    </w:p>
    <w:p w:rsidR="001F4E4C" w:rsidRPr="001F4E4C" w:rsidRDefault="001F4E4C" w:rsidP="001F4E4C">
      <w:pPr>
        <w:tabs>
          <w:tab w:val="left" w:pos="10348"/>
        </w:tabs>
        <w:spacing w:after="0"/>
        <w:ind w:left="426" w:right="565" w:firstLine="708"/>
        <w:rPr>
          <w:rFonts w:asciiTheme="minorHAnsi" w:hAnsiTheme="minorHAnsi"/>
          <w:b/>
        </w:rPr>
      </w:pPr>
    </w:p>
    <w:p w:rsidR="001F4E4C" w:rsidRPr="001F4E4C" w:rsidRDefault="001F4E4C" w:rsidP="001F4E4C">
      <w:pPr>
        <w:tabs>
          <w:tab w:val="left" w:pos="10348"/>
        </w:tabs>
        <w:spacing w:after="0"/>
        <w:ind w:left="426" w:right="565" w:firstLine="708"/>
        <w:rPr>
          <w:rFonts w:asciiTheme="minorHAnsi" w:hAnsiTheme="minorHAnsi"/>
        </w:rPr>
      </w:pPr>
      <w:r w:rsidRPr="001F4E4C">
        <w:rPr>
          <w:rFonts w:asciiTheme="minorHAnsi" w:hAnsiTheme="minorHAnsi"/>
        </w:rPr>
        <w:t>Si la richesse de ce document explique que nous l’ayons choisi comme source unique, il convient d’en montrer aux élèves les limites. Il ne rend pas compte des différentes modalités de l’extermination des Juifs et des Tziganes. Les cinq autres centres de mise à mort (Chelmno, Belzec, Sobibor, Treblinka et Lublin-Majdanek) ne sont pas évoqués, or, Birkenau est un centre de mise à mort très spécifique dans la mesure où, à partir de juin 1942, les Nazis ont opéré des sélections parmi les déportés qui arrivaient afin de les faire travailler dans les usines alentours. Dans les autres centres de mise à mort, seule la main d’œuvre utilisée pour la liquidation des cadavres était gardée.  Enfin, le centre de mise à mort de Birkenau</w:t>
      </w:r>
      <w:r w:rsidRPr="001F4E4C">
        <w:rPr>
          <w:rStyle w:val="Marquenotebasdepage"/>
          <w:rFonts w:asciiTheme="minorHAnsi" w:hAnsiTheme="minorHAnsi"/>
        </w:rPr>
        <w:footnoteReference w:id="1"/>
      </w:r>
      <w:r w:rsidRPr="001F4E4C">
        <w:rPr>
          <w:rFonts w:asciiTheme="minorHAnsi" w:hAnsiTheme="minorHAnsi"/>
        </w:rPr>
        <w:t xml:space="preserve"> a subi de nombreuses transformations pendant son fonctionnement (agrandissement, prolongement de la voie à l’intérieur du camp et construction de la </w:t>
      </w:r>
      <w:r w:rsidRPr="001F4E4C">
        <w:rPr>
          <w:rFonts w:asciiTheme="minorHAnsi" w:hAnsiTheme="minorHAnsi"/>
          <w:i/>
        </w:rPr>
        <w:t>Bahnrampe</w:t>
      </w:r>
      <w:r w:rsidRPr="001F4E4C">
        <w:rPr>
          <w:rFonts w:asciiTheme="minorHAnsi" w:hAnsiTheme="minorHAnsi"/>
        </w:rPr>
        <w:t xml:space="preserve">  -</w:t>
      </w:r>
      <w:r>
        <w:rPr>
          <w:rFonts w:asciiTheme="minorHAnsi" w:hAnsiTheme="minorHAnsi"/>
        </w:rPr>
        <w:t xml:space="preserve"> </w:t>
      </w:r>
      <w:r w:rsidRPr="001F4E4C">
        <w:rPr>
          <w:rFonts w:asciiTheme="minorHAnsi" w:hAnsiTheme="minorHAnsi"/>
        </w:rPr>
        <w:t>qui n’a servi que quelques mois</w:t>
      </w:r>
      <w:r>
        <w:rPr>
          <w:rFonts w:asciiTheme="minorHAnsi" w:hAnsiTheme="minorHAnsi"/>
        </w:rPr>
        <w:t xml:space="preserve"> </w:t>
      </w:r>
      <w:r w:rsidRPr="001F4E4C">
        <w:rPr>
          <w:rFonts w:asciiTheme="minorHAnsi" w:hAnsiTheme="minorHAnsi"/>
        </w:rPr>
        <w:t xml:space="preserve">- où arrivent les derniers convois de Juifs, construction de </w:t>
      </w:r>
      <w:r w:rsidRPr="001F4E4C">
        <w:rPr>
          <w:rFonts w:asciiTheme="minorHAnsi" w:hAnsiTheme="minorHAnsi"/>
          <w:i/>
        </w:rPr>
        <w:t>Krematoriums</w:t>
      </w:r>
      <w:r w:rsidRPr="001F4E4C">
        <w:rPr>
          <w:rFonts w:asciiTheme="minorHAnsi" w:hAnsiTheme="minorHAnsi"/>
        </w:rPr>
        <w:t xml:space="preserve">…). Les photographies de l’album de Lili Jacob laissent entrapercevoir le camp dans sa phase finale et cependant elles sont devenues emblématiques d’Auschwitz. </w:t>
      </w:r>
    </w:p>
    <w:p w:rsidR="001F4E4C" w:rsidRPr="001F4E4C" w:rsidRDefault="001F4E4C" w:rsidP="001F4E4C">
      <w:pPr>
        <w:tabs>
          <w:tab w:val="left" w:pos="10348"/>
        </w:tabs>
        <w:spacing w:after="0"/>
        <w:ind w:left="426" w:right="565" w:firstLine="708"/>
        <w:rPr>
          <w:rFonts w:asciiTheme="minorHAnsi" w:hAnsiTheme="minorHAnsi"/>
        </w:rPr>
      </w:pPr>
    </w:p>
    <w:p w:rsidR="002C2D6E" w:rsidRPr="001F4E4C" w:rsidRDefault="002C2D6E" w:rsidP="001F4E4C">
      <w:pPr>
        <w:spacing w:after="0"/>
        <w:ind w:left="426" w:right="565" w:firstLine="708"/>
        <w:rPr>
          <w:rFonts w:asciiTheme="minorHAnsi" w:hAnsiTheme="minorHAnsi"/>
        </w:rPr>
      </w:pPr>
      <w:r w:rsidRPr="001F4E4C">
        <w:rPr>
          <w:rFonts w:asciiTheme="minorHAnsi" w:hAnsiTheme="minorHAnsi"/>
        </w:rPr>
        <w:t>De fait, l’album ne montre que l’arrivée d’un convoi, dans le centre de mise à mort d’Auschwitz-Birkenau à l’été 44. Mais ce sont les seules photographies connues de cette éta</w:t>
      </w:r>
      <w:r w:rsidR="001A6681" w:rsidRPr="001F4E4C">
        <w:rPr>
          <w:rFonts w:asciiTheme="minorHAnsi" w:hAnsiTheme="minorHAnsi"/>
        </w:rPr>
        <w:t xml:space="preserve">pe du processus d’extermination. </w:t>
      </w:r>
      <w:r w:rsidRPr="001F4E4C">
        <w:rPr>
          <w:rFonts w:asciiTheme="minorHAnsi" w:hAnsiTheme="minorHAnsi"/>
        </w:rPr>
        <w:t>S</w:t>
      </w:r>
      <w:r w:rsidR="00CE5893" w:rsidRPr="001F4E4C">
        <w:rPr>
          <w:rFonts w:asciiTheme="minorHAnsi" w:hAnsiTheme="minorHAnsi"/>
        </w:rPr>
        <w:t>e limiter à l’empathie, à l’</w:t>
      </w:r>
      <w:r w:rsidRPr="001F4E4C">
        <w:rPr>
          <w:rFonts w:asciiTheme="minorHAnsi" w:hAnsiTheme="minorHAnsi"/>
        </w:rPr>
        <w:t xml:space="preserve">émotion, n’est pas le but de cette étude. L’objectif est d’aborder la notion de </w:t>
      </w:r>
      <w:r w:rsidR="00CE5893" w:rsidRPr="001F4E4C">
        <w:rPr>
          <w:rFonts w:asciiTheme="minorHAnsi" w:hAnsiTheme="minorHAnsi"/>
        </w:rPr>
        <w:t>guerre d’anéantissement</w:t>
      </w:r>
      <w:r w:rsidRPr="001F4E4C">
        <w:rPr>
          <w:rFonts w:asciiTheme="minorHAnsi" w:hAnsiTheme="minorHAnsi"/>
        </w:rPr>
        <w:t xml:space="preserve"> et </w:t>
      </w:r>
      <w:r w:rsidR="001F4E4C" w:rsidRPr="001F4E4C">
        <w:rPr>
          <w:rFonts w:asciiTheme="minorHAnsi" w:hAnsiTheme="minorHAnsi"/>
        </w:rPr>
        <w:t>l</w:t>
      </w:r>
      <w:r w:rsidRPr="001F4E4C">
        <w:rPr>
          <w:rFonts w:asciiTheme="minorHAnsi" w:hAnsiTheme="minorHAnsi"/>
        </w:rPr>
        <w:t>es en</w:t>
      </w:r>
      <w:r w:rsidR="00CE5893" w:rsidRPr="001F4E4C">
        <w:rPr>
          <w:rFonts w:asciiTheme="minorHAnsi" w:hAnsiTheme="minorHAnsi"/>
        </w:rPr>
        <w:t>jeux idéologiques</w:t>
      </w:r>
      <w:r w:rsidR="001F4E4C" w:rsidRPr="001F4E4C">
        <w:rPr>
          <w:rFonts w:asciiTheme="minorHAnsi" w:hAnsiTheme="minorHAnsi"/>
        </w:rPr>
        <w:t xml:space="preserve"> de la Seconde guerre mondiale</w:t>
      </w:r>
      <w:r w:rsidR="001A6681" w:rsidRPr="001F4E4C">
        <w:rPr>
          <w:rFonts w:asciiTheme="minorHAnsi" w:hAnsiTheme="minorHAnsi"/>
        </w:rPr>
        <w:t>. Les élèves doivent comprendre que l’</w:t>
      </w:r>
      <w:r w:rsidRPr="001F4E4C">
        <w:rPr>
          <w:rFonts w:asciiTheme="minorHAnsi" w:hAnsiTheme="minorHAnsi"/>
        </w:rPr>
        <w:t xml:space="preserve">extermination des Juifs et des Tziganes </w:t>
      </w:r>
      <w:r w:rsidR="001F4E4C" w:rsidRPr="001F4E4C">
        <w:rPr>
          <w:rFonts w:asciiTheme="minorHAnsi" w:hAnsiTheme="minorHAnsi"/>
        </w:rPr>
        <w:t>a</w:t>
      </w:r>
      <w:r w:rsidRPr="001F4E4C">
        <w:rPr>
          <w:rFonts w:asciiTheme="minorHAnsi" w:hAnsiTheme="minorHAnsi"/>
        </w:rPr>
        <w:t xml:space="preserve"> été pensée, organisée et perpétrée  par les nazis.</w:t>
      </w:r>
    </w:p>
    <w:p w:rsidR="001F4E4C" w:rsidRDefault="001F4E4C" w:rsidP="001F4E4C">
      <w:pPr>
        <w:spacing w:after="0"/>
        <w:ind w:left="426" w:right="565"/>
        <w:rPr>
          <w:rFonts w:asciiTheme="minorHAnsi" w:hAnsiTheme="minorHAnsi"/>
        </w:rPr>
      </w:pPr>
    </w:p>
    <w:p w:rsidR="002C2D6E" w:rsidRPr="001F4E4C" w:rsidRDefault="001F4E4C" w:rsidP="001F4E4C">
      <w:pPr>
        <w:spacing w:after="0"/>
        <w:ind w:left="426" w:right="565"/>
        <w:rPr>
          <w:rFonts w:asciiTheme="minorHAnsi" w:hAnsiTheme="minorHAnsi"/>
          <w:b/>
          <w:u w:val="single"/>
        </w:rPr>
      </w:pPr>
      <w:r w:rsidRPr="001F4E4C">
        <w:rPr>
          <w:rFonts w:asciiTheme="minorHAnsi" w:hAnsiTheme="minorHAnsi"/>
          <w:b/>
          <w:u w:val="single"/>
        </w:rPr>
        <w:t>Démarche</w:t>
      </w:r>
    </w:p>
    <w:p w:rsidR="001F4E4C" w:rsidRDefault="001F4E4C" w:rsidP="001F4E4C">
      <w:pPr>
        <w:spacing w:after="0"/>
        <w:ind w:left="426" w:right="565" w:firstLine="708"/>
        <w:rPr>
          <w:rFonts w:asciiTheme="minorHAnsi" w:hAnsiTheme="minorHAnsi"/>
        </w:rPr>
      </w:pPr>
      <w:r>
        <w:rPr>
          <w:rFonts w:asciiTheme="minorHAnsi" w:hAnsiTheme="minorHAnsi"/>
        </w:rPr>
        <w:tab/>
        <w:t>L’enseignant peut partir de la projection de quelques photos qu’il aura choisies pour caractériser la déportation des juifs. La Hongrie et  Birkenau sont situés sur une carte.</w:t>
      </w:r>
    </w:p>
    <w:p w:rsidR="001F4E4C" w:rsidRDefault="001F4E4C" w:rsidP="001F4E4C">
      <w:pPr>
        <w:spacing w:after="0"/>
        <w:ind w:left="426" w:right="565" w:firstLine="708"/>
        <w:rPr>
          <w:rFonts w:asciiTheme="minorHAnsi" w:hAnsiTheme="minorHAnsi"/>
        </w:rPr>
      </w:pPr>
      <w:r>
        <w:rPr>
          <w:rFonts w:asciiTheme="minorHAnsi" w:hAnsiTheme="minorHAnsi"/>
        </w:rPr>
        <w:t>Il peut ensuite amener les élèves à formuler des hypothèses quant à l’existence-même de ces photos, à l’identité du photographe, à la survie de ce document.</w:t>
      </w:r>
    </w:p>
    <w:p w:rsidR="001F4E4C" w:rsidRDefault="001F4E4C" w:rsidP="001F4E4C">
      <w:pPr>
        <w:spacing w:after="0"/>
        <w:ind w:left="426" w:right="565" w:firstLine="708"/>
        <w:rPr>
          <w:rFonts w:asciiTheme="minorHAnsi" w:hAnsiTheme="minorHAnsi"/>
        </w:rPr>
      </w:pPr>
      <w:r>
        <w:rPr>
          <w:rFonts w:asciiTheme="minorHAnsi" w:hAnsiTheme="minorHAnsi"/>
        </w:rPr>
        <w:t xml:space="preserve">Il pourra alors </w:t>
      </w:r>
      <w:r w:rsidR="002C2D6E" w:rsidRPr="001F4E4C">
        <w:rPr>
          <w:rFonts w:asciiTheme="minorHAnsi" w:hAnsiTheme="minorHAnsi"/>
        </w:rPr>
        <w:t>présent</w:t>
      </w:r>
      <w:r>
        <w:rPr>
          <w:rFonts w:asciiTheme="minorHAnsi" w:hAnsiTheme="minorHAnsi"/>
        </w:rPr>
        <w:t>er</w:t>
      </w:r>
      <w:r w:rsidR="002C2D6E" w:rsidRPr="001F4E4C">
        <w:rPr>
          <w:rFonts w:asciiTheme="minorHAnsi" w:hAnsiTheme="minorHAnsi"/>
        </w:rPr>
        <w:t xml:space="preserve"> </w:t>
      </w:r>
      <w:r>
        <w:rPr>
          <w:rFonts w:asciiTheme="minorHAnsi" w:hAnsiTheme="minorHAnsi"/>
        </w:rPr>
        <w:t>l’album et raconter rapidement son histoire.</w:t>
      </w:r>
    </w:p>
    <w:p w:rsidR="0077758A" w:rsidRPr="001F4E4C" w:rsidRDefault="001F4E4C" w:rsidP="001F4E4C">
      <w:pPr>
        <w:spacing w:after="0"/>
        <w:ind w:left="426" w:right="565" w:firstLine="708"/>
        <w:rPr>
          <w:rFonts w:asciiTheme="minorHAnsi" w:hAnsiTheme="minorHAnsi"/>
        </w:rPr>
      </w:pPr>
      <w:r>
        <w:rPr>
          <w:rFonts w:asciiTheme="minorHAnsi" w:hAnsiTheme="minorHAnsi"/>
        </w:rPr>
        <w:t xml:space="preserve">Enfin, </w:t>
      </w:r>
      <w:r w:rsidR="000C440D" w:rsidRPr="001F4E4C">
        <w:rPr>
          <w:rFonts w:asciiTheme="minorHAnsi" w:hAnsiTheme="minorHAnsi"/>
        </w:rPr>
        <w:t>le processus d’extermination</w:t>
      </w:r>
      <w:r w:rsidR="001A6681" w:rsidRPr="001F4E4C">
        <w:rPr>
          <w:rFonts w:asciiTheme="minorHAnsi" w:hAnsiTheme="minorHAnsi"/>
        </w:rPr>
        <w:t xml:space="preserve"> </w:t>
      </w:r>
      <w:r>
        <w:rPr>
          <w:rFonts w:asciiTheme="minorHAnsi" w:hAnsiTheme="minorHAnsi"/>
        </w:rPr>
        <w:t>est</w:t>
      </w:r>
      <w:r w:rsidR="001A6681" w:rsidRPr="001F4E4C">
        <w:rPr>
          <w:rFonts w:asciiTheme="minorHAnsi" w:hAnsiTheme="minorHAnsi"/>
        </w:rPr>
        <w:t xml:space="preserve"> </w:t>
      </w:r>
      <w:r>
        <w:rPr>
          <w:rFonts w:asciiTheme="minorHAnsi" w:hAnsiTheme="minorHAnsi"/>
        </w:rPr>
        <w:t>présenté</w:t>
      </w:r>
      <w:r w:rsidR="000C440D" w:rsidRPr="001F4E4C">
        <w:rPr>
          <w:rFonts w:asciiTheme="minorHAnsi" w:hAnsiTheme="minorHAnsi"/>
        </w:rPr>
        <w:t xml:space="preserve"> dans son ensemble</w:t>
      </w:r>
      <w:r w:rsidR="0077758A" w:rsidRPr="001F4E4C">
        <w:rPr>
          <w:rFonts w:asciiTheme="minorHAnsi" w:hAnsiTheme="minorHAnsi"/>
        </w:rPr>
        <w:t xml:space="preserve"> avec </w:t>
      </w:r>
      <w:r>
        <w:rPr>
          <w:rFonts w:asciiTheme="minorHAnsi" w:hAnsiTheme="minorHAnsi"/>
        </w:rPr>
        <w:t xml:space="preserve">un ou deux </w:t>
      </w:r>
      <w:r w:rsidR="00D01552">
        <w:rPr>
          <w:rFonts w:asciiTheme="minorHAnsi" w:hAnsiTheme="minorHAnsi"/>
        </w:rPr>
        <w:t>documents</w:t>
      </w:r>
      <w:r>
        <w:rPr>
          <w:rFonts w:asciiTheme="minorHAnsi" w:hAnsiTheme="minorHAnsi"/>
        </w:rPr>
        <w:t xml:space="preserve"> complémentaires et situé dans l’espace européen.</w:t>
      </w:r>
    </w:p>
    <w:p w:rsidR="000C440D" w:rsidRPr="001F4E4C" w:rsidRDefault="000C440D" w:rsidP="001F4E4C">
      <w:pPr>
        <w:spacing w:after="0"/>
        <w:ind w:left="426" w:right="565"/>
        <w:rPr>
          <w:rFonts w:asciiTheme="minorHAnsi" w:hAnsiTheme="minorHAnsi"/>
        </w:rPr>
      </w:pPr>
    </w:p>
    <w:p w:rsidR="000C440D" w:rsidRPr="001F4E4C" w:rsidRDefault="00F52654" w:rsidP="001F4E4C">
      <w:pPr>
        <w:spacing w:after="0"/>
        <w:ind w:left="426" w:right="565"/>
        <w:rPr>
          <w:rFonts w:asciiTheme="minorHAnsi" w:hAnsiTheme="minorHAnsi"/>
          <w:b/>
          <w:u w:val="single"/>
          <w:lang w:val="en-US"/>
        </w:rPr>
      </w:pPr>
      <w:r w:rsidRPr="001F4E4C">
        <w:rPr>
          <w:rFonts w:asciiTheme="minorHAnsi" w:hAnsiTheme="minorHAnsi"/>
          <w:b/>
          <w:u w:val="single"/>
          <w:lang w:val="en-US"/>
        </w:rPr>
        <w:t>Bibliographie/Sitographie</w:t>
      </w:r>
    </w:p>
    <w:p w:rsidR="00F52654" w:rsidRPr="001F4E4C" w:rsidRDefault="00F52654" w:rsidP="001F4E4C">
      <w:pPr>
        <w:spacing w:after="0"/>
        <w:ind w:left="426" w:right="565"/>
        <w:rPr>
          <w:rFonts w:asciiTheme="minorHAnsi" w:hAnsiTheme="minorHAnsi"/>
          <w:lang w:val="en-US"/>
        </w:rPr>
      </w:pPr>
      <w:r w:rsidRPr="001F4E4C">
        <w:rPr>
          <w:rFonts w:asciiTheme="minorHAnsi" w:hAnsiTheme="minorHAnsi"/>
          <w:lang w:val="en-US"/>
        </w:rPr>
        <w:t xml:space="preserve">Le site du Memorial </w:t>
      </w:r>
      <w:proofErr w:type="gramStart"/>
      <w:r w:rsidRPr="001F4E4C">
        <w:rPr>
          <w:rFonts w:asciiTheme="minorHAnsi" w:hAnsiTheme="minorHAnsi"/>
          <w:lang w:val="en-US"/>
        </w:rPr>
        <w:t>Shoah :</w:t>
      </w:r>
      <w:proofErr w:type="gramEnd"/>
      <w:r w:rsidRPr="001F4E4C">
        <w:rPr>
          <w:rFonts w:asciiTheme="minorHAnsi" w:hAnsiTheme="minorHAnsi"/>
          <w:lang w:val="en-US"/>
        </w:rPr>
        <w:t xml:space="preserve"> </w:t>
      </w:r>
      <w:hyperlink r:id="rId5" w:history="1">
        <w:r w:rsidRPr="001F4E4C">
          <w:rPr>
            <w:rStyle w:val="Lienhypertexte"/>
            <w:rFonts w:asciiTheme="minorHAnsi" w:hAnsiTheme="minorHAnsi"/>
            <w:lang w:val="en-US"/>
          </w:rPr>
          <w:t>http://www.memorialdelashoah.org/index.php/fr/</w:t>
        </w:r>
      </w:hyperlink>
    </w:p>
    <w:p w:rsidR="000C440D" w:rsidRPr="001F4E4C" w:rsidRDefault="00F52654" w:rsidP="001F4E4C">
      <w:pPr>
        <w:spacing w:after="0"/>
        <w:ind w:left="426" w:right="565"/>
        <w:rPr>
          <w:rFonts w:asciiTheme="minorHAnsi" w:hAnsiTheme="minorHAnsi"/>
        </w:rPr>
      </w:pPr>
      <w:r w:rsidRPr="001F4E4C">
        <w:rPr>
          <w:rFonts w:asciiTheme="minorHAnsi" w:hAnsiTheme="minorHAnsi"/>
          <w:lang w:val="en-US"/>
        </w:rPr>
        <w:t xml:space="preserve">Le site de </w:t>
      </w:r>
      <w:r w:rsidR="000C440D" w:rsidRPr="001F4E4C">
        <w:rPr>
          <w:rFonts w:asciiTheme="minorHAnsi" w:hAnsiTheme="minorHAnsi"/>
        </w:rPr>
        <w:t xml:space="preserve">Yad </w:t>
      </w:r>
      <w:proofErr w:type="gramStart"/>
      <w:r w:rsidR="000C440D" w:rsidRPr="001F4E4C">
        <w:rPr>
          <w:rFonts w:asciiTheme="minorHAnsi" w:hAnsiTheme="minorHAnsi"/>
        </w:rPr>
        <w:t>Vashem</w:t>
      </w:r>
      <w:r w:rsidRPr="001F4E4C">
        <w:rPr>
          <w:rFonts w:asciiTheme="minorHAnsi" w:hAnsiTheme="minorHAnsi"/>
        </w:rPr>
        <w:t> :</w:t>
      </w:r>
      <w:proofErr w:type="gramEnd"/>
      <w:r w:rsidRPr="001F4E4C">
        <w:rPr>
          <w:rFonts w:asciiTheme="minorHAnsi" w:hAnsiTheme="minorHAnsi"/>
        </w:rPr>
        <w:t xml:space="preserve"> </w:t>
      </w:r>
      <w:hyperlink r:id="rId6" w:history="1">
        <w:r w:rsidRPr="001F4E4C">
          <w:rPr>
            <w:rStyle w:val="Lienhypertexte"/>
            <w:rFonts w:asciiTheme="minorHAnsi" w:hAnsiTheme="minorHAnsi"/>
          </w:rPr>
          <w:t>http://www.yadvashem.org/</w:t>
        </w:r>
      </w:hyperlink>
    </w:p>
    <w:p w:rsidR="00CE5893" w:rsidRPr="001F4E4C" w:rsidRDefault="00F52654" w:rsidP="001F4E4C">
      <w:pPr>
        <w:spacing w:after="0"/>
        <w:ind w:left="426" w:right="565"/>
        <w:rPr>
          <w:rFonts w:asciiTheme="minorHAnsi" w:hAnsiTheme="minorHAnsi"/>
        </w:rPr>
      </w:pPr>
      <w:r w:rsidRPr="001F4E4C">
        <w:rPr>
          <w:rFonts w:asciiTheme="minorHAnsi" w:hAnsiTheme="minorHAnsi"/>
        </w:rPr>
        <w:t xml:space="preserve">Ida Grinspan et Bertrand Poirot-Delpech, </w:t>
      </w:r>
      <w:r w:rsidRPr="001F4E4C">
        <w:rPr>
          <w:rFonts w:asciiTheme="minorHAnsi" w:hAnsiTheme="minorHAnsi"/>
          <w:i/>
        </w:rPr>
        <w:t>J’ai pas pleuré</w:t>
      </w:r>
      <w:r w:rsidRPr="001F4E4C">
        <w:rPr>
          <w:rFonts w:asciiTheme="minorHAnsi" w:hAnsiTheme="minorHAnsi"/>
        </w:rPr>
        <w:t>, Ed Robert Laffont, 2002</w:t>
      </w:r>
    </w:p>
    <w:p w:rsidR="00F52654" w:rsidRPr="001F4E4C" w:rsidRDefault="00F52654" w:rsidP="001F4E4C">
      <w:pPr>
        <w:spacing w:after="0"/>
        <w:ind w:left="426" w:right="565"/>
        <w:rPr>
          <w:rFonts w:asciiTheme="minorHAnsi" w:hAnsiTheme="minorHAnsi"/>
        </w:rPr>
      </w:pPr>
      <w:r w:rsidRPr="001F4E4C">
        <w:rPr>
          <w:rFonts w:asciiTheme="minorHAnsi" w:hAnsiTheme="minorHAnsi"/>
        </w:rPr>
        <w:t xml:space="preserve">Primo Levi, </w:t>
      </w:r>
      <w:r w:rsidRPr="001F4E4C">
        <w:rPr>
          <w:rFonts w:asciiTheme="minorHAnsi" w:hAnsiTheme="minorHAnsi"/>
          <w:i/>
        </w:rPr>
        <w:t>Si c’est un homme</w:t>
      </w:r>
      <w:r w:rsidRPr="001F4E4C">
        <w:rPr>
          <w:rFonts w:asciiTheme="minorHAnsi" w:hAnsiTheme="minorHAnsi"/>
        </w:rPr>
        <w:t>, Presse Pocket 1997 (1947  1</w:t>
      </w:r>
      <w:r w:rsidRPr="001F4E4C">
        <w:rPr>
          <w:rFonts w:asciiTheme="minorHAnsi" w:hAnsiTheme="minorHAnsi"/>
          <w:vertAlign w:val="superscript"/>
        </w:rPr>
        <w:t>ère</w:t>
      </w:r>
      <w:r w:rsidRPr="001F4E4C">
        <w:rPr>
          <w:rFonts w:asciiTheme="minorHAnsi" w:hAnsiTheme="minorHAnsi"/>
        </w:rPr>
        <w:t xml:space="preserve"> édition)</w:t>
      </w:r>
    </w:p>
    <w:p w:rsidR="00F52654" w:rsidRPr="001F4E4C" w:rsidRDefault="00F52654" w:rsidP="001F4E4C">
      <w:pPr>
        <w:spacing w:after="0"/>
        <w:ind w:left="426" w:right="565"/>
        <w:rPr>
          <w:rFonts w:asciiTheme="minorHAnsi" w:hAnsiTheme="minorHAnsi"/>
        </w:rPr>
      </w:pPr>
      <w:r w:rsidRPr="001F4E4C">
        <w:rPr>
          <w:rFonts w:asciiTheme="minorHAnsi" w:hAnsiTheme="minorHAnsi"/>
        </w:rPr>
        <w:t xml:space="preserve">Rudolf Hoess, </w:t>
      </w:r>
      <w:r w:rsidRPr="001F4E4C">
        <w:rPr>
          <w:rFonts w:asciiTheme="minorHAnsi" w:hAnsiTheme="minorHAnsi"/>
          <w:i/>
        </w:rPr>
        <w:t>Le commandant d’Auschwitz parle</w:t>
      </w:r>
      <w:r w:rsidRPr="001F4E4C">
        <w:rPr>
          <w:rFonts w:asciiTheme="minorHAnsi" w:hAnsiTheme="minorHAnsi"/>
        </w:rPr>
        <w:t>, préface de Geneviè</w:t>
      </w:r>
      <w:r w:rsidR="001F4E4C">
        <w:rPr>
          <w:rFonts w:asciiTheme="minorHAnsi" w:hAnsiTheme="minorHAnsi"/>
        </w:rPr>
        <w:t>ve Decrop,</w:t>
      </w:r>
      <w:r w:rsidRPr="001F4E4C">
        <w:rPr>
          <w:rFonts w:asciiTheme="minorHAnsi" w:hAnsiTheme="minorHAnsi"/>
        </w:rPr>
        <w:t xml:space="preserve"> La Découverte, 2005</w:t>
      </w:r>
    </w:p>
    <w:p w:rsidR="00F52654" w:rsidRPr="001F4E4C" w:rsidRDefault="00F52654" w:rsidP="001F4E4C">
      <w:pPr>
        <w:spacing w:after="0"/>
        <w:ind w:left="426" w:right="565"/>
        <w:rPr>
          <w:rFonts w:asciiTheme="minorHAnsi" w:hAnsiTheme="minorHAnsi"/>
        </w:rPr>
      </w:pPr>
      <w:r w:rsidRPr="001F4E4C">
        <w:rPr>
          <w:rFonts w:asciiTheme="minorHAnsi" w:hAnsiTheme="minorHAnsi"/>
        </w:rPr>
        <w:t xml:space="preserve">Charlotte Delbo, </w:t>
      </w:r>
      <w:r w:rsidRPr="001F4E4C">
        <w:rPr>
          <w:rFonts w:asciiTheme="minorHAnsi" w:hAnsiTheme="minorHAnsi"/>
          <w:i/>
        </w:rPr>
        <w:t>Auschwitz et après</w:t>
      </w:r>
      <w:r w:rsidRPr="001F4E4C">
        <w:rPr>
          <w:rFonts w:asciiTheme="minorHAnsi" w:hAnsiTheme="minorHAnsi"/>
        </w:rPr>
        <w:t xml:space="preserve">, tome I, </w:t>
      </w:r>
      <w:r w:rsidRPr="001F4E4C">
        <w:rPr>
          <w:rFonts w:asciiTheme="minorHAnsi" w:hAnsiTheme="minorHAnsi"/>
          <w:i/>
        </w:rPr>
        <w:t>Aucun de nous ne reviendra</w:t>
      </w:r>
      <w:r w:rsidRPr="001F4E4C">
        <w:rPr>
          <w:rFonts w:asciiTheme="minorHAnsi" w:hAnsiTheme="minorHAnsi"/>
        </w:rPr>
        <w:t>, ed. de Miniuit, 1970</w:t>
      </w:r>
    </w:p>
    <w:p w:rsidR="002C2D6E" w:rsidRPr="001F4E4C" w:rsidRDefault="002C2D6E" w:rsidP="001F4E4C">
      <w:pPr>
        <w:spacing w:after="0"/>
        <w:ind w:left="426" w:right="565"/>
        <w:rPr>
          <w:rFonts w:asciiTheme="minorHAnsi" w:hAnsiTheme="minorHAnsi"/>
        </w:rPr>
      </w:pPr>
    </w:p>
    <w:sectPr w:rsidR="002C2D6E" w:rsidRPr="001F4E4C" w:rsidSect="001F4E4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F4E4C" w:rsidRPr="001F4E4C" w:rsidRDefault="001F4E4C" w:rsidP="001F4E4C">
      <w:pPr>
        <w:pStyle w:val="Notedebasdepage"/>
        <w:ind w:left="426" w:right="565"/>
        <w:rPr>
          <w:sz w:val="18"/>
          <w:szCs w:val="18"/>
        </w:rPr>
      </w:pPr>
      <w:r w:rsidRPr="001F4E4C">
        <w:rPr>
          <w:rStyle w:val="Marquenotebasdepage"/>
          <w:sz w:val="18"/>
          <w:szCs w:val="18"/>
        </w:rPr>
        <w:footnoteRef/>
      </w:r>
      <w:r w:rsidRPr="001F4E4C">
        <w:rPr>
          <w:sz w:val="18"/>
          <w:szCs w:val="18"/>
        </w:rPr>
        <w:t xml:space="preserve"> Il existe également trois photographies prises  par des membres du </w:t>
      </w:r>
      <w:r w:rsidRPr="001F4E4C">
        <w:rPr>
          <w:i/>
          <w:sz w:val="18"/>
          <w:szCs w:val="18"/>
        </w:rPr>
        <w:t>Sonderkommando</w:t>
      </w:r>
      <w:r w:rsidRPr="001F4E4C">
        <w:rPr>
          <w:sz w:val="18"/>
          <w:szCs w:val="18"/>
        </w:rPr>
        <w:t>.</w:t>
      </w:r>
    </w:p>
  </w:footnote>
  <w:footnote w:id="0">
    <w:p w:rsidR="001F4E4C" w:rsidRPr="001F4E4C" w:rsidRDefault="001F4E4C" w:rsidP="001F4E4C">
      <w:pPr>
        <w:pStyle w:val="Notedebasdepage"/>
        <w:ind w:left="426" w:right="565"/>
        <w:rPr>
          <w:sz w:val="18"/>
          <w:szCs w:val="18"/>
        </w:rPr>
      </w:pPr>
      <w:r w:rsidRPr="001F4E4C">
        <w:rPr>
          <w:rStyle w:val="Marquenotebasdepage"/>
          <w:sz w:val="18"/>
          <w:szCs w:val="18"/>
        </w:rPr>
        <w:footnoteRef/>
      </w:r>
      <w:r w:rsidRPr="001F4E4C">
        <w:rPr>
          <w:sz w:val="18"/>
          <w:szCs w:val="18"/>
        </w:rPr>
        <w:t xml:space="preserve"> « </w:t>
      </w:r>
      <w:r w:rsidRPr="001F4E4C">
        <w:rPr>
          <w:i/>
          <w:sz w:val="18"/>
          <w:szCs w:val="18"/>
        </w:rPr>
        <w:t>L’album d’Auschwitz ne montre pas les morts mais les vivants, il témoigne de l’humanité à laquelle nous appartenons tous et dont les Nazis avaient voulu nous éliminer</w:t>
      </w:r>
      <w:r w:rsidRPr="001F4E4C">
        <w:rPr>
          <w:sz w:val="18"/>
          <w:szCs w:val="18"/>
        </w:rPr>
        <w:t xml:space="preserve"> », de Simone Weil, op. </w:t>
      </w:r>
      <w:proofErr w:type="gramStart"/>
      <w:r w:rsidRPr="001F4E4C">
        <w:rPr>
          <w:sz w:val="18"/>
          <w:szCs w:val="18"/>
        </w:rPr>
        <w:t>cité</w:t>
      </w:r>
      <w:proofErr w:type="gramEnd"/>
      <w:r w:rsidRPr="001F4E4C">
        <w:rPr>
          <w:sz w:val="18"/>
          <w:szCs w:val="18"/>
        </w:rPr>
        <w:t>.</w:t>
      </w:r>
    </w:p>
  </w:footnote>
  <w:footnote w:id="1">
    <w:p w:rsidR="001F4E4C" w:rsidRPr="001F4E4C" w:rsidRDefault="001F4E4C" w:rsidP="001F4E4C">
      <w:pPr>
        <w:pStyle w:val="Notedebasdepage"/>
        <w:ind w:left="426" w:right="565"/>
        <w:jc w:val="both"/>
        <w:rPr>
          <w:sz w:val="18"/>
          <w:szCs w:val="18"/>
        </w:rPr>
      </w:pPr>
      <w:r w:rsidRPr="001F4E4C">
        <w:rPr>
          <w:rStyle w:val="Marquenotebasdepage"/>
        </w:rPr>
        <w:footnoteRef/>
      </w:r>
      <w:r w:rsidRPr="001F4E4C">
        <w:t xml:space="preserve"> </w:t>
      </w:r>
      <w:r w:rsidRPr="001F4E4C">
        <w:rPr>
          <w:sz w:val="18"/>
          <w:szCs w:val="18"/>
        </w:rPr>
        <w:t>Serge Klarsfeld et l’historien Marcello Pezzetti  détaillent dans l’édition de 2005 les différentes transformations du centre de mise à mort de Birkenau qu’ils replacent  dans le complexe d’Auschwitz pp 31-41, ils donnent  également un plan très précis d’AuschwitzII-Brikenau très facilement exploitable en classe et qui permet de visualiser les aménagements successifs</w:t>
      </w:r>
      <w:proofErr w:type="gramStart"/>
      <w:r w:rsidRPr="001F4E4C">
        <w:rPr>
          <w:sz w:val="18"/>
          <w:szCs w:val="18"/>
        </w:rPr>
        <w:t>..</w:t>
      </w:r>
      <w:proofErr w:type="gramEnd"/>
      <w:r w:rsidRPr="001F4E4C">
        <w:rPr>
          <w:sz w:val="18"/>
          <w:szCs w:val="1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drawingGridHorizontalSpacing w:val="120"/>
  <w:displayHorizontalDrawingGridEvery w:val="2"/>
  <w:characterSpacingControl w:val="doNotCompress"/>
  <w:compat/>
  <w:rsids>
    <w:rsidRoot w:val="00CE5893"/>
    <w:rsid w:val="000B2799"/>
    <w:rsid w:val="000C440D"/>
    <w:rsid w:val="00196C60"/>
    <w:rsid w:val="001A6681"/>
    <w:rsid w:val="001F4E4C"/>
    <w:rsid w:val="002C2D6E"/>
    <w:rsid w:val="00301E33"/>
    <w:rsid w:val="0077758A"/>
    <w:rsid w:val="00A01C72"/>
    <w:rsid w:val="00C15B43"/>
    <w:rsid w:val="00CE5893"/>
    <w:rsid w:val="00D01552"/>
    <w:rsid w:val="00D06E1E"/>
    <w:rsid w:val="00E7351E"/>
    <w:rsid w:val="00F30CEE"/>
    <w:rsid w:val="00F52654"/>
    <w:rsid w:val="00F553AF"/>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72"/>
    <w:pPr>
      <w:jc w:val="both"/>
    </w:pPr>
    <w:rPr>
      <w:rFonts w:ascii="Arial" w:hAnsi="Arial"/>
      <w:sz w:val="24"/>
    </w:rPr>
  </w:style>
  <w:style w:type="paragraph" w:styleId="Titre1">
    <w:name w:val="heading 1"/>
    <w:basedOn w:val="Normal"/>
    <w:next w:val="Normal"/>
    <w:link w:val="Titre1Car"/>
    <w:uiPriority w:val="9"/>
    <w:qFormat/>
    <w:rsid w:val="00A01C72"/>
    <w:pPr>
      <w:keepNext/>
      <w:keepLines/>
      <w:spacing w:before="480" w:after="0"/>
      <w:outlineLvl w:val="0"/>
    </w:pPr>
    <w:rPr>
      <w:rFonts w:eastAsiaTheme="majorEastAsia" w:cstheme="majorBidi"/>
      <w:bCs/>
      <w:color w:val="365F91" w:themeColor="accent1" w:themeShade="BF"/>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A01C72"/>
    <w:rPr>
      <w:rFonts w:ascii="Arial" w:eastAsiaTheme="majorEastAsia" w:hAnsi="Arial" w:cstheme="majorBidi"/>
      <w:bCs/>
      <w:color w:val="365F91" w:themeColor="accent1" w:themeShade="BF"/>
      <w:sz w:val="28"/>
      <w:szCs w:val="28"/>
      <w:u w:val="single"/>
    </w:rPr>
  </w:style>
  <w:style w:type="paragraph" w:styleId="Sous-titre">
    <w:name w:val="Subtitle"/>
    <w:basedOn w:val="Normal"/>
    <w:next w:val="Normal"/>
    <w:link w:val="Sous-titreCar"/>
    <w:uiPriority w:val="11"/>
    <w:qFormat/>
    <w:rsid w:val="00A01C72"/>
    <w:pPr>
      <w:numPr>
        <w:ilvl w:val="1"/>
      </w:numPr>
    </w:pPr>
    <w:rPr>
      <w:rFonts w:eastAsiaTheme="majorEastAsia" w:cstheme="majorBidi"/>
      <w:b/>
      <w:iCs/>
      <w:color w:val="00B050"/>
      <w:spacing w:val="15"/>
      <w:szCs w:val="24"/>
      <w:u w:val="single"/>
    </w:rPr>
  </w:style>
  <w:style w:type="character" w:customStyle="1" w:styleId="Sous-titreCar">
    <w:name w:val="Sous-titre Car"/>
    <w:basedOn w:val="Policepardfaut"/>
    <w:link w:val="Sous-titre"/>
    <w:uiPriority w:val="11"/>
    <w:rsid w:val="00A01C72"/>
    <w:rPr>
      <w:rFonts w:ascii="Arial" w:eastAsiaTheme="majorEastAsia" w:hAnsi="Arial" w:cstheme="majorBidi"/>
      <w:b/>
      <w:iCs/>
      <w:color w:val="00B050"/>
      <w:spacing w:val="15"/>
      <w:sz w:val="24"/>
      <w:szCs w:val="24"/>
      <w:u w:val="single"/>
    </w:rPr>
  </w:style>
  <w:style w:type="character" w:styleId="Lienhypertexte">
    <w:name w:val="Hyperlink"/>
    <w:basedOn w:val="Policepardfaut"/>
    <w:uiPriority w:val="99"/>
    <w:unhideWhenUsed/>
    <w:rsid w:val="00F52654"/>
    <w:rPr>
      <w:color w:val="0000FF" w:themeColor="hyperlink"/>
      <w:u w:val="single"/>
    </w:rPr>
  </w:style>
  <w:style w:type="paragraph" w:styleId="Notedebasdepage">
    <w:name w:val="footnote text"/>
    <w:basedOn w:val="Normal"/>
    <w:link w:val="NotedebasdepageCar"/>
    <w:uiPriority w:val="99"/>
    <w:semiHidden/>
    <w:unhideWhenUsed/>
    <w:rsid w:val="001F4E4C"/>
    <w:pPr>
      <w:spacing w:after="0" w:line="240" w:lineRule="auto"/>
      <w:jc w:val="left"/>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1F4E4C"/>
    <w:rPr>
      <w:sz w:val="20"/>
      <w:szCs w:val="20"/>
    </w:rPr>
  </w:style>
  <w:style w:type="character" w:styleId="Marquenotebasdepage">
    <w:name w:val="footnote reference"/>
    <w:basedOn w:val="Policepardfaut"/>
    <w:uiPriority w:val="99"/>
    <w:semiHidden/>
    <w:unhideWhenUsed/>
    <w:rsid w:val="001F4E4C"/>
    <w:rPr>
      <w:vertAlign w:val="superscript"/>
    </w:rPr>
  </w:style>
  <w:style w:type="character" w:styleId="Lienhypertextesuivi">
    <w:name w:val="FollowedHyperlink"/>
    <w:basedOn w:val="Policepardfaut"/>
    <w:uiPriority w:val="99"/>
    <w:semiHidden/>
    <w:unhideWhenUsed/>
    <w:rsid w:val="001F4E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9972959">
      <w:bodyDiv w:val="1"/>
      <w:marLeft w:val="0"/>
      <w:marRight w:val="0"/>
      <w:marTop w:val="0"/>
      <w:marBottom w:val="0"/>
      <w:divBdr>
        <w:top w:val="none" w:sz="0" w:space="0" w:color="auto"/>
        <w:left w:val="none" w:sz="0" w:space="0" w:color="auto"/>
        <w:bottom w:val="none" w:sz="0" w:space="0" w:color="auto"/>
        <w:right w:val="none" w:sz="0" w:space="0" w:color="auto"/>
      </w:divBdr>
      <w:divsChild>
        <w:div w:id="930119627">
          <w:marLeft w:val="0"/>
          <w:marRight w:val="0"/>
          <w:marTop w:val="0"/>
          <w:marBottom w:val="0"/>
          <w:divBdr>
            <w:top w:val="none" w:sz="0" w:space="0" w:color="auto"/>
            <w:left w:val="none" w:sz="0" w:space="0" w:color="auto"/>
            <w:bottom w:val="none" w:sz="0" w:space="0" w:color="auto"/>
            <w:right w:val="none" w:sz="0" w:space="0" w:color="auto"/>
          </w:divBdr>
          <w:divsChild>
            <w:div w:id="1261527245">
              <w:marLeft w:val="0"/>
              <w:marRight w:val="0"/>
              <w:marTop w:val="0"/>
              <w:marBottom w:val="0"/>
              <w:divBdr>
                <w:top w:val="none" w:sz="0" w:space="0" w:color="auto"/>
                <w:left w:val="none" w:sz="0" w:space="0" w:color="auto"/>
                <w:bottom w:val="none" w:sz="0" w:space="0" w:color="auto"/>
                <w:right w:val="none" w:sz="0" w:space="0" w:color="auto"/>
              </w:divBdr>
            </w:div>
            <w:div w:id="1349674205">
              <w:marLeft w:val="0"/>
              <w:marRight w:val="0"/>
              <w:marTop w:val="0"/>
              <w:marBottom w:val="0"/>
              <w:divBdr>
                <w:top w:val="none" w:sz="0" w:space="0" w:color="auto"/>
                <w:left w:val="none" w:sz="0" w:space="0" w:color="auto"/>
                <w:bottom w:val="none" w:sz="0" w:space="0" w:color="auto"/>
                <w:right w:val="none" w:sz="0" w:space="0" w:color="auto"/>
              </w:divBdr>
            </w:div>
            <w:div w:id="356273986">
              <w:marLeft w:val="0"/>
              <w:marRight w:val="0"/>
              <w:marTop w:val="0"/>
              <w:marBottom w:val="0"/>
              <w:divBdr>
                <w:top w:val="none" w:sz="0" w:space="0" w:color="auto"/>
                <w:left w:val="none" w:sz="0" w:space="0" w:color="auto"/>
                <w:bottom w:val="none" w:sz="0" w:space="0" w:color="auto"/>
                <w:right w:val="none" w:sz="0" w:space="0" w:color="auto"/>
              </w:divBdr>
            </w:div>
            <w:div w:id="798835981">
              <w:marLeft w:val="0"/>
              <w:marRight w:val="0"/>
              <w:marTop w:val="0"/>
              <w:marBottom w:val="0"/>
              <w:divBdr>
                <w:top w:val="none" w:sz="0" w:space="0" w:color="auto"/>
                <w:left w:val="none" w:sz="0" w:space="0" w:color="auto"/>
                <w:bottom w:val="none" w:sz="0" w:space="0" w:color="auto"/>
                <w:right w:val="none" w:sz="0" w:space="0" w:color="auto"/>
              </w:divBdr>
            </w:div>
            <w:div w:id="232936178">
              <w:marLeft w:val="0"/>
              <w:marRight w:val="0"/>
              <w:marTop w:val="0"/>
              <w:marBottom w:val="0"/>
              <w:divBdr>
                <w:top w:val="none" w:sz="0" w:space="0" w:color="auto"/>
                <w:left w:val="none" w:sz="0" w:space="0" w:color="auto"/>
                <w:bottom w:val="none" w:sz="0" w:space="0" w:color="auto"/>
                <w:right w:val="none" w:sz="0" w:space="0" w:color="auto"/>
              </w:divBdr>
            </w:div>
            <w:div w:id="745959451">
              <w:marLeft w:val="0"/>
              <w:marRight w:val="0"/>
              <w:marTop w:val="0"/>
              <w:marBottom w:val="0"/>
              <w:divBdr>
                <w:top w:val="none" w:sz="0" w:space="0" w:color="auto"/>
                <w:left w:val="none" w:sz="0" w:space="0" w:color="auto"/>
                <w:bottom w:val="none" w:sz="0" w:space="0" w:color="auto"/>
                <w:right w:val="none" w:sz="0" w:space="0" w:color="auto"/>
              </w:divBdr>
            </w:div>
            <w:div w:id="1746145504">
              <w:marLeft w:val="0"/>
              <w:marRight w:val="0"/>
              <w:marTop w:val="0"/>
              <w:marBottom w:val="0"/>
              <w:divBdr>
                <w:top w:val="none" w:sz="0" w:space="0" w:color="auto"/>
                <w:left w:val="none" w:sz="0" w:space="0" w:color="auto"/>
                <w:bottom w:val="none" w:sz="0" w:space="0" w:color="auto"/>
                <w:right w:val="none" w:sz="0" w:space="0" w:color="auto"/>
              </w:divBdr>
            </w:div>
            <w:div w:id="1817910902">
              <w:marLeft w:val="0"/>
              <w:marRight w:val="0"/>
              <w:marTop w:val="0"/>
              <w:marBottom w:val="0"/>
              <w:divBdr>
                <w:top w:val="none" w:sz="0" w:space="0" w:color="auto"/>
                <w:left w:val="none" w:sz="0" w:space="0" w:color="auto"/>
                <w:bottom w:val="none" w:sz="0" w:space="0" w:color="auto"/>
                <w:right w:val="none" w:sz="0" w:space="0" w:color="auto"/>
              </w:divBdr>
            </w:div>
            <w:div w:id="866407831">
              <w:marLeft w:val="0"/>
              <w:marRight w:val="0"/>
              <w:marTop w:val="0"/>
              <w:marBottom w:val="0"/>
              <w:divBdr>
                <w:top w:val="none" w:sz="0" w:space="0" w:color="auto"/>
                <w:left w:val="none" w:sz="0" w:space="0" w:color="auto"/>
                <w:bottom w:val="none" w:sz="0" w:space="0" w:color="auto"/>
                <w:right w:val="none" w:sz="0" w:space="0" w:color="auto"/>
              </w:divBdr>
            </w:div>
            <w:div w:id="678891577">
              <w:marLeft w:val="0"/>
              <w:marRight w:val="0"/>
              <w:marTop w:val="0"/>
              <w:marBottom w:val="0"/>
              <w:divBdr>
                <w:top w:val="none" w:sz="0" w:space="0" w:color="auto"/>
                <w:left w:val="none" w:sz="0" w:space="0" w:color="auto"/>
                <w:bottom w:val="none" w:sz="0" w:space="0" w:color="auto"/>
                <w:right w:val="none" w:sz="0" w:space="0" w:color="auto"/>
              </w:divBdr>
            </w:div>
            <w:div w:id="2017802764">
              <w:marLeft w:val="0"/>
              <w:marRight w:val="0"/>
              <w:marTop w:val="0"/>
              <w:marBottom w:val="0"/>
              <w:divBdr>
                <w:top w:val="none" w:sz="0" w:space="0" w:color="auto"/>
                <w:left w:val="none" w:sz="0" w:space="0" w:color="auto"/>
                <w:bottom w:val="none" w:sz="0" w:space="0" w:color="auto"/>
                <w:right w:val="none" w:sz="0" w:space="0" w:color="auto"/>
              </w:divBdr>
            </w:div>
            <w:div w:id="2127890226">
              <w:marLeft w:val="0"/>
              <w:marRight w:val="0"/>
              <w:marTop w:val="0"/>
              <w:marBottom w:val="0"/>
              <w:divBdr>
                <w:top w:val="none" w:sz="0" w:space="0" w:color="auto"/>
                <w:left w:val="none" w:sz="0" w:space="0" w:color="auto"/>
                <w:bottom w:val="none" w:sz="0" w:space="0" w:color="auto"/>
                <w:right w:val="none" w:sz="0" w:space="0" w:color="auto"/>
              </w:divBdr>
            </w:div>
            <w:div w:id="149059573">
              <w:marLeft w:val="0"/>
              <w:marRight w:val="0"/>
              <w:marTop w:val="0"/>
              <w:marBottom w:val="0"/>
              <w:divBdr>
                <w:top w:val="none" w:sz="0" w:space="0" w:color="auto"/>
                <w:left w:val="none" w:sz="0" w:space="0" w:color="auto"/>
                <w:bottom w:val="none" w:sz="0" w:space="0" w:color="auto"/>
                <w:right w:val="none" w:sz="0" w:space="0" w:color="auto"/>
              </w:divBdr>
            </w:div>
            <w:div w:id="782769992">
              <w:marLeft w:val="0"/>
              <w:marRight w:val="0"/>
              <w:marTop w:val="0"/>
              <w:marBottom w:val="0"/>
              <w:divBdr>
                <w:top w:val="none" w:sz="0" w:space="0" w:color="auto"/>
                <w:left w:val="none" w:sz="0" w:space="0" w:color="auto"/>
                <w:bottom w:val="none" w:sz="0" w:space="0" w:color="auto"/>
                <w:right w:val="none" w:sz="0" w:space="0" w:color="auto"/>
              </w:divBdr>
            </w:div>
            <w:div w:id="261299851">
              <w:marLeft w:val="0"/>
              <w:marRight w:val="0"/>
              <w:marTop w:val="0"/>
              <w:marBottom w:val="0"/>
              <w:divBdr>
                <w:top w:val="none" w:sz="0" w:space="0" w:color="auto"/>
                <w:left w:val="none" w:sz="0" w:space="0" w:color="auto"/>
                <w:bottom w:val="none" w:sz="0" w:space="0" w:color="auto"/>
                <w:right w:val="none" w:sz="0" w:space="0" w:color="auto"/>
              </w:divBdr>
            </w:div>
            <w:div w:id="1245607620">
              <w:marLeft w:val="0"/>
              <w:marRight w:val="0"/>
              <w:marTop w:val="0"/>
              <w:marBottom w:val="0"/>
              <w:divBdr>
                <w:top w:val="none" w:sz="0" w:space="0" w:color="auto"/>
                <w:left w:val="none" w:sz="0" w:space="0" w:color="auto"/>
                <w:bottom w:val="none" w:sz="0" w:space="0" w:color="auto"/>
                <w:right w:val="none" w:sz="0" w:space="0" w:color="auto"/>
              </w:divBdr>
            </w:div>
            <w:div w:id="1895770126">
              <w:marLeft w:val="0"/>
              <w:marRight w:val="0"/>
              <w:marTop w:val="0"/>
              <w:marBottom w:val="0"/>
              <w:divBdr>
                <w:top w:val="none" w:sz="0" w:space="0" w:color="auto"/>
                <w:left w:val="none" w:sz="0" w:space="0" w:color="auto"/>
                <w:bottom w:val="none" w:sz="0" w:space="0" w:color="auto"/>
                <w:right w:val="none" w:sz="0" w:space="0" w:color="auto"/>
              </w:divBdr>
            </w:div>
            <w:div w:id="1206679509">
              <w:marLeft w:val="0"/>
              <w:marRight w:val="0"/>
              <w:marTop w:val="0"/>
              <w:marBottom w:val="0"/>
              <w:divBdr>
                <w:top w:val="none" w:sz="0" w:space="0" w:color="auto"/>
                <w:left w:val="none" w:sz="0" w:space="0" w:color="auto"/>
                <w:bottom w:val="none" w:sz="0" w:space="0" w:color="auto"/>
                <w:right w:val="none" w:sz="0" w:space="0" w:color="auto"/>
              </w:divBdr>
            </w:div>
            <w:div w:id="1383016062">
              <w:marLeft w:val="0"/>
              <w:marRight w:val="0"/>
              <w:marTop w:val="0"/>
              <w:marBottom w:val="0"/>
              <w:divBdr>
                <w:top w:val="none" w:sz="0" w:space="0" w:color="auto"/>
                <w:left w:val="none" w:sz="0" w:space="0" w:color="auto"/>
                <w:bottom w:val="none" w:sz="0" w:space="0" w:color="auto"/>
                <w:right w:val="none" w:sz="0" w:space="0" w:color="auto"/>
              </w:divBdr>
            </w:div>
            <w:div w:id="1387602122">
              <w:marLeft w:val="0"/>
              <w:marRight w:val="0"/>
              <w:marTop w:val="0"/>
              <w:marBottom w:val="0"/>
              <w:divBdr>
                <w:top w:val="none" w:sz="0" w:space="0" w:color="auto"/>
                <w:left w:val="none" w:sz="0" w:space="0" w:color="auto"/>
                <w:bottom w:val="none" w:sz="0" w:space="0" w:color="auto"/>
                <w:right w:val="none" w:sz="0" w:space="0" w:color="auto"/>
              </w:divBdr>
            </w:div>
            <w:div w:id="1942493712">
              <w:marLeft w:val="0"/>
              <w:marRight w:val="0"/>
              <w:marTop w:val="0"/>
              <w:marBottom w:val="0"/>
              <w:divBdr>
                <w:top w:val="none" w:sz="0" w:space="0" w:color="auto"/>
                <w:left w:val="none" w:sz="0" w:space="0" w:color="auto"/>
                <w:bottom w:val="none" w:sz="0" w:space="0" w:color="auto"/>
                <w:right w:val="none" w:sz="0" w:space="0" w:color="auto"/>
              </w:divBdr>
            </w:div>
            <w:div w:id="1532107357">
              <w:marLeft w:val="0"/>
              <w:marRight w:val="0"/>
              <w:marTop w:val="0"/>
              <w:marBottom w:val="0"/>
              <w:divBdr>
                <w:top w:val="none" w:sz="0" w:space="0" w:color="auto"/>
                <w:left w:val="none" w:sz="0" w:space="0" w:color="auto"/>
                <w:bottom w:val="none" w:sz="0" w:space="0" w:color="auto"/>
                <w:right w:val="none" w:sz="0" w:space="0" w:color="auto"/>
              </w:divBdr>
            </w:div>
            <w:div w:id="77798830">
              <w:marLeft w:val="0"/>
              <w:marRight w:val="0"/>
              <w:marTop w:val="0"/>
              <w:marBottom w:val="0"/>
              <w:divBdr>
                <w:top w:val="none" w:sz="0" w:space="0" w:color="auto"/>
                <w:left w:val="none" w:sz="0" w:space="0" w:color="auto"/>
                <w:bottom w:val="none" w:sz="0" w:space="0" w:color="auto"/>
                <w:right w:val="none" w:sz="0" w:space="0" w:color="auto"/>
              </w:divBdr>
            </w:div>
            <w:div w:id="796413212">
              <w:marLeft w:val="0"/>
              <w:marRight w:val="0"/>
              <w:marTop w:val="0"/>
              <w:marBottom w:val="0"/>
              <w:divBdr>
                <w:top w:val="none" w:sz="0" w:space="0" w:color="auto"/>
                <w:left w:val="none" w:sz="0" w:space="0" w:color="auto"/>
                <w:bottom w:val="none" w:sz="0" w:space="0" w:color="auto"/>
                <w:right w:val="none" w:sz="0" w:space="0" w:color="auto"/>
              </w:divBdr>
            </w:div>
            <w:div w:id="938680250">
              <w:marLeft w:val="0"/>
              <w:marRight w:val="0"/>
              <w:marTop w:val="0"/>
              <w:marBottom w:val="0"/>
              <w:divBdr>
                <w:top w:val="none" w:sz="0" w:space="0" w:color="auto"/>
                <w:left w:val="none" w:sz="0" w:space="0" w:color="auto"/>
                <w:bottom w:val="none" w:sz="0" w:space="0" w:color="auto"/>
                <w:right w:val="none" w:sz="0" w:space="0" w:color="auto"/>
              </w:divBdr>
            </w:div>
            <w:div w:id="1025518312">
              <w:marLeft w:val="0"/>
              <w:marRight w:val="0"/>
              <w:marTop w:val="0"/>
              <w:marBottom w:val="0"/>
              <w:divBdr>
                <w:top w:val="none" w:sz="0" w:space="0" w:color="auto"/>
                <w:left w:val="none" w:sz="0" w:space="0" w:color="auto"/>
                <w:bottom w:val="none" w:sz="0" w:space="0" w:color="auto"/>
                <w:right w:val="none" w:sz="0" w:space="0" w:color="auto"/>
              </w:divBdr>
            </w:div>
            <w:div w:id="133984727">
              <w:marLeft w:val="0"/>
              <w:marRight w:val="0"/>
              <w:marTop w:val="0"/>
              <w:marBottom w:val="0"/>
              <w:divBdr>
                <w:top w:val="none" w:sz="0" w:space="0" w:color="auto"/>
                <w:left w:val="none" w:sz="0" w:space="0" w:color="auto"/>
                <w:bottom w:val="none" w:sz="0" w:space="0" w:color="auto"/>
                <w:right w:val="none" w:sz="0" w:space="0" w:color="auto"/>
              </w:divBdr>
            </w:div>
            <w:div w:id="2080132183">
              <w:marLeft w:val="0"/>
              <w:marRight w:val="0"/>
              <w:marTop w:val="0"/>
              <w:marBottom w:val="0"/>
              <w:divBdr>
                <w:top w:val="none" w:sz="0" w:space="0" w:color="auto"/>
                <w:left w:val="none" w:sz="0" w:space="0" w:color="auto"/>
                <w:bottom w:val="none" w:sz="0" w:space="0" w:color="auto"/>
                <w:right w:val="none" w:sz="0" w:space="0" w:color="auto"/>
              </w:divBdr>
            </w:div>
            <w:div w:id="1116681838">
              <w:marLeft w:val="0"/>
              <w:marRight w:val="0"/>
              <w:marTop w:val="0"/>
              <w:marBottom w:val="0"/>
              <w:divBdr>
                <w:top w:val="none" w:sz="0" w:space="0" w:color="auto"/>
                <w:left w:val="none" w:sz="0" w:space="0" w:color="auto"/>
                <w:bottom w:val="none" w:sz="0" w:space="0" w:color="auto"/>
                <w:right w:val="none" w:sz="0" w:space="0" w:color="auto"/>
              </w:divBdr>
            </w:div>
            <w:div w:id="882447614">
              <w:marLeft w:val="0"/>
              <w:marRight w:val="0"/>
              <w:marTop w:val="0"/>
              <w:marBottom w:val="0"/>
              <w:divBdr>
                <w:top w:val="none" w:sz="0" w:space="0" w:color="auto"/>
                <w:left w:val="none" w:sz="0" w:space="0" w:color="auto"/>
                <w:bottom w:val="none" w:sz="0" w:space="0" w:color="auto"/>
                <w:right w:val="none" w:sz="0" w:space="0" w:color="auto"/>
              </w:divBdr>
            </w:div>
            <w:div w:id="1708413328">
              <w:marLeft w:val="0"/>
              <w:marRight w:val="0"/>
              <w:marTop w:val="0"/>
              <w:marBottom w:val="0"/>
              <w:divBdr>
                <w:top w:val="none" w:sz="0" w:space="0" w:color="auto"/>
                <w:left w:val="none" w:sz="0" w:space="0" w:color="auto"/>
                <w:bottom w:val="none" w:sz="0" w:space="0" w:color="auto"/>
                <w:right w:val="none" w:sz="0" w:space="0" w:color="auto"/>
              </w:divBdr>
            </w:div>
            <w:div w:id="704789408">
              <w:marLeft w:val="0"/>
              <w:marRight w:val="0"/>
              <w:marTop w:val="0"/>
              <w:marBottom w:val="0"/>
              <w:divBdr>
                <w:top w:val="none" w:sz="0" w:space="0" w:color="auto"/>
                <w:left w:val="none" w:sz="0" w:space="0" w:color="auto"/>
                <w:bottom w:val="none" w:sz="0" w:space="0" w:color="auto"/>
                <w:right w:val="none" w:sz="0" w:space="0" w:color="auto"/>
              </w:divBdr>
            </w:div>
            <w:div w:id="332730954">
              <w:marLeft w:val="0"/>
              <w:marRight w:val="0"/>
              <w:marTop w:val="0"/>
              <w:marBottom w:val="0"/>
              <w:divBdr>
                <w:top w:val="none" w:sz="0" w:space="0" w:color="auto"/>
                <w:left w:val="none" w:sz="0" w:space="0" w:color="auto"/>
                <w:bottom w:val="none" w:sz="0" w:space="0" w:color="auto"/>
                <w:right w:val="none" w:sz="0" w:space="0" w:color="auto"/>
              </w:divBdr>
            </w:div>
            <w:div w:id="629213049">
              <w:marLeft w:val="0"/>
              <w:marRight w:val="0"/>
              <w:marTop w:val="0"/>
              <w:marBottom w:val="0"/>
              <w:divBdr>
                <w:top w:val="none" w:sz="0" w:space="0" w:color="auto"/>
                <w:left w:val="none" w:sz="0" w:space="0" w:color="auto"/>
                <w:bottom w:val="none" w:sz="0" w:space="0" w:color="auto"/>
                <w:right w:val="none" w:sz="0" w:space="0" w:color="auto"/>
              </w:divBdr>
            </w:div>
            <w:div w:id="914123255">
              <w:marLeft w:val="0"/>
              <w:marRight w:val="0"/>
              <w:marTop w:val="0"/>
              <w:marBottom w:val="0"/>
              <w:divBdr>
                <w:top w:val="none" w:sz="0" w:space="0" w:color="auto"/>
                <w:left w:val="none" w:sz="0" w:space="0" w:color="auto"/>
                <w:bottom w:val="none" w:sz="0" w:space="0" w:color="auto"/>
                <w:right w:val="none" w:sz="0" w:space="0" w:color="auto"/>
              </w:divBdr>
            </w:div>
            <w:div w:id="1088307458">
              <w:marLeft w:val="0"/>
              <w:marRight w:val="0"/>
              <w:marTop w:val="0"/>
              <w:marBottom w:val="0"/>
              <w:divBdr>
                <w:top w:val="none" w:sz="0" w:space="0" w:color="auto"/>
                <w:left w:val="none" w:sz="0" w:space="0" w:color="auto"/>
                <w:bottom w:val="none" w:sz="0" w:space="0" w:color="auto"/>
                <w:right w:val="none" w:sz="0" w:space="0" w:color="auto"/>
              </w:divBdr>
            </w:div>
            <w:div w:id="2132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www.memorialdelashoah.org/index.php/fr/" TargetMode="External"/><Relationship Id="rId6" Type="http://schemas.openxmlformats.org/officeDocument/2006/relationships/hyperlink" Target="http://www.yadvashe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650</Words>
  <Characters>3707</Characters>
  <Application>Microsoft Macintosh Word</Application>
  <DocSecurity>0</DocSecurity>
  <Lines>30</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MENORET</dc:creator>
  <cp:lastModifiedBy>PASQUIER</cp:lastModifiedBy>
  <cp:revision>5</cp:revision>
  <dcterms:created xsi:type="dcterms:W3CDTF">2013-11-08T12:28:00Z</dcterms:created>
  <dcterms:modified xsi:type="dcterms:W3CDTF">2014-02-04T08:29:00Z</dcterms:modified>
</cp:coreProperties>
</file>