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68" w:rsidRDefault="00E07ED5">
      <w:pPr>
        <w:pStyle w:val="Standard"/>
        <w:jc w:val="center"/>
      </w:pPr>
      <w:r>
        <w:rPr>
          <w:rFonts w:ascii="Calibri" w:eastAsia="Helvetica" w:hAnsi="Calibri" w:cs="Helvetica"/>
          <w:color w:val="000000"/>
          <w:sz w:val="22"/>
          <w:szCs w:val="22"/>
        </w:rPr>
        <w:t xml:space="preserve">Liste des documents et iconographie </w:t>
      </w:r>
    </w:p>
    <w:p w:rsidR="00AC6E68" w:rsidRDefault="00AC6E68">
      <w:pPr>
        <w:pStyle w:val="Standard"/>
        <w:jc w:val="both"/>
      </w:pP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color w:val="000000"/>
          <w:sz w:val="22"/>
          <w:szCs w:val="22"/>
        </w:rPr>
        <w:t xml:space="preserve">- Liste des documents 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color w:val="000000"/>
          <w:sz w:val="22"/>
          <w:szCs w:val="22"/>
        </w:rPr>
        <w:t xml:space="preserve">Doc.1 : Marc Dugain, </w:t>
      </w:r>
      <w:r>
        <w:rPr>
          <w:rFonts w:ascii="Calibri" w:eastAsia="Helvetica" w:hAnsi="Calibri" w:cs="Helvetica"/>
          <w:i/>
          <w:iCs/>
          <w:sz w:val="22"/>
          <w:szCs w:val="22"/>
        </w:rPr>
        <w:t>La Chambre des officiers</w:t>
      </w:r>
      <w:r>
        <w:rPr>
          <w:rFonts w:ascii="Calibri" w:eastAsia="Helvetica" w:hAnsi="Calibri" w:cs="Helvetica"/>
          <w:sz w:val="22"/>
          <w:szCs w:val="22"/>
        </w:rPr>
        <w:t>, Paris, Pocket</w:t>
      </w:r>
      <w:r>
        <w:rPr>
          <w:rFonts w:ascii="Calibri" w:eastAsia="Helvetica" w:hAnsi="Calibri" w:cs="Helvetica"/>
          <w:color w:val="000000"/>
          <w:sz w:val="22"/>
          <w:szCs w:val="22"/>
        </w:rPr>
        <w:t xml:space="preserve"> </w:t>
      </w:r>
      <w:r>
        <w:rPr>
          <w:rFonts w:ascii="Calibri" w:eastAsia="Helvetica" w:hAnsi="Calibri" w:cs="Helvetica"/>
          <w:sz w:val="22"/>
          <w:szCs w:val="22"/>
        </w:rPr>
        <w:t>(n</w:t>
      </w:r>
      <w:r>
        <w:rPr>
          <w:rFonts w:ascii="Calibri" w:eastAsia="Helvetica" w:hAnsi="Calibri" w:cs="Helvetica"/>
          <w:position w:val="6"/>
          <w:sz w:val="22"/>
          <w:szCs w:val="22"/>
        </w:rPr>
        <w:t>o</w:t>
      </w:r>
      <w:r>
        <w:rPr>
          <w:rFonts w:ascii="Calibri" w:eastAsia="Helvetica" w:hAnsi="Calibri" w:cs="Helvetica"/>
          <w:sz w:val="22"/>
          <w:szCs w:val="22"/>
        </w:rPr>
        <w:t xml:space="preserve"> 10679), coll. « Nouvelles voix », 1999, 171 p. </w:t>
      </w:r>
      <w:r>
        <w:rPr>
          <w:rFonts w:ascii="Calibri" w:eastAsia="Helvetica" w:hAnsi="Calibri" w:cs="Helvetica"/>
          <w:color w:val="000000"/>
          <w:sz w:val="20"/>
          <w:szCs w:val="20"/>
        </w:rPr>
        <w:t>(</w:t>
      </w:r>
      <w:hyperlink r:id="rId4">
        <w:r>
          <w:rPr>
            <w:rStyle w:val="LienInternet"/>
            <w:rFonts w:ascii="Calibri" w:hAnsi="Calibri"/>
            <w:color w:val="000000"/>
            <w:sz w:val="20"/>
            <w:szCs w:val="20"/>
            <w:u w:val="none"/>
          </w:rPr>
          <w:t>ISBN 2-266-09308-</w:t>
        </w:r>
      </w:hyperlink>
      <w:r>
        <w:rPr>
          <w:rFonts w:ascii="Calibri" w:eastAsia="Helvetica" w:hAnsi="Calibri" w:cs="Helvetica"/>
          <w:color w:val="000000"/>
          <w:sz w:val="20"/>
          <w:szCs w:val="20"/>
        </w:rPr>
        <w:t>8)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2 : Sans titre, </w:t>
      </w:r>
      <w:r>
        <w:rPr>
          <w:rFonts w:ascii="Calibri" w:eastAsia="Helvetica" w:hAnsi="Calibri" w:cs="Helvetica"/>
          <w:i/>
          <w:iCs/>
          <w:sz w:val="22"/>
          <w:szCs w:val="22"/>
        </w:rPr>
        <w:t>in</w:t>
      </w:r>
      <w:r>
        <w:rPr>
          <w:rFonts w:ascii="Calibri" w:eastAsia="Helvetica" w:hAnsi="Calibri" w:cs="Helvetica"/>
          <w:sz w:val="22"/>
          <w:szCs w:val="22"/>
        </w:rPr>
        <w:t xml:space="preserve"> Exposition virtuelle </w:t>
      </w:r>
      <w:r>
        <w:rPr>
          <w:rFonts w:ascii="Calibri" w:eastAsia="Helvetica" w:hAnsi="Calibri" w:cs="Helvetica"/>
          <w:i/>
          <w:iCs/>
          <w:sz w:val="22"/>
          <w:szCs w:val="22"/>
        </w:rPr>
        <w:t>Les gueules cassées</w:t>
      </w:r>
      <w:r>
        <w:rPr>
          <w:rFonts w:ascii="Calibri" w:eastAsia="Helvetica" w:hAnsi="Calibri" w:cs="Helvetica"/>
          <w:sz w:val="22"/>
          <w:szCs w:val="22"/>
        </w:rPr>
        <w:t>, Bibliothèque Interuniversitaire de Médecine de Paris, Sophie Delaporte, 2000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3 : Gaspare Tagliacozzi, </w:t>
      </w:r>
      <w:r>
        <w:rPr>
          <w:rFonts w:ascii="Calibri" w:eastAsia="Helvetica" w:hAnsi="Calibri" w:cs="Helvetica"/>
          <w:i/>
          <w:iCs/>
          <w:sz w:val="22"/>
          <w:szCs w:val="22"/>
        </w:rPr>
        <w:t xml:space="preserve">Tradux Cutaneaus, fasciae, </w:t>
      </w:r>
      <w:r>
        <w:rPr>
          <w:rFonts w:ascii="Calibri" w:eastAsia="Helvetica" w:hAnsi="Calibri" w:cs="Helvetica"/>
          <w:sz w:val="22"/>
          <w:szCs w:val="22"/>
        </w:rPr>
        <w:t xml:space="preserve">gravure sur bois </w:t>
      </w:r>
      <w:r>
        <w:rPr>
          <w:rFonts w:ascii="Calibri" w:eastAsia="Helvetica" w:hAnsi="Calibri" w:cs="Helvetica"/>
          <w:i/>
          <w:iCs/>
          <w:sz w:val="22"/>
          <w:szCs w:val="22"/>
        </w:rPr>
        <w:t>in</w:t>
      </w:r>
      <w:r>
        <w:rPr>
          <w:rFonts w:ascii="Calibri" w:eastAsia="Helvetica" w:hAnsi="Calibri" w:cs="Helvetica"/>
          <w:sz w:val="22"/>
          <w:szCs w:val="22"/>
        </w:rPr>
        <w:t xml:space="preserve"> </w:t>
      </w:r>
      <w:r>
        <w:rPr>
          <w:rFonts w:ascii="Calibri" w:eastAsia="TrebuchetMS" w:hAnsi="Calibri" w:cs="TrebuchetMS"/>
          <w:i/>
          <w:iCs/>
          <w:color w:val="000000"/>
          <w:sz w:val="22"/>
          <w:szCs w:val="22"/>
        </w:rPr>
        <w:t>De curtorum chirurgia per insitionem libri duo</w:t>
      </w:r>
      <w:r>
        <w:rPr>
          <w:rFonts w:ascii="Calibri" w:eastAsia="Helvetica" w:hAnsi="Calibri" w:cs="Helvetica"/>
          <w:sz w:val="22"/>
          <w:szCs w:val="22"/>
        </w:rPr>
        <w:t xml:space="preserve">, Venise, 1597, </w:t>
      </w:r>
      <w:hyperlink r:id="rId5">
        <w:r>
          <w:rPr>
            <w:rStyle w:val="LienInternet"/>
            <w:rFonts w:ascii="Calibri" w:hAnsi="Calibri"/>
            <w:sz w:val="22"/>
            <w:szCs w:val="22"/>
          </w:rPr>
          <w:t>http://www.biusante.parisdescartes.fr/histmed/image?01619</w:t>
        </w:r>
      </w:hyperlink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4 et 5 : </w:t>
      </w:r>
      <w:r>
        <w:rPr>
          <w:rFonts w:ascii="Calibri" w:eastAsia="Helvetica" w:hAnsi="Calibri" w:cs="Helvetica"/>
          <w:i/>
          <w:iCs/>
          <w:sz w:val="22"/>
          <w:szCs w:val="22"/>
        </w:rPr>
        <w:t>Die Skaspieler</w:t>
      </w:r>
      <w:r>
        <w:rPr>
          <w:rFonts w:ascii="Calibri" w:eastAsia="Helvetica" w:hAnsi="Calibri" w:cs="Helvetica"/>
          <w:sz w:val="22"/>
          <w:szCs w:val="22"/>
        </w:rPr>
        <w:t xml:space="preserve">, Otto Dix, 1920, Huile et collages sur toile, Neue Nationalgalerie Berlin </w:t>
      </w: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6 : Universal Studios, Photo promotionnelle pour le film </w:t>
      </w:r>
      <w:r>
        <w:rPr>
          <w:rFonts w:ascii="Calibri" w:eastAsia="Helvetica" w:hAnsi="Calibri" w:cs="Helvetica"/>
          <w:i/>
          <w:iCs/>
          <w:sz w:val="22"/>
          <w:szCs w:val="22"/>
        </w:rPr>
        <w:t>The Bride of Frankenstein</w:t>
      </w:r>
      <w:r>
        <w:rPr>
          <w:rFonts w:ascii="Calibri" w:eastAsia="Helvetica" w:hAnsi="Calibri" w:cs="Helvetica"/>
          <w:sz w:val="22"/>
          <w:szCs w:val="22"/>
        </w:rPr>
        <w:t>, 1935. Oeuvre tombée dans le domaine public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7 : Extraits de l'article </w:t>
      </w:r>
      <w:r>
        <w:rPr>
          <w:rFonts w:ascii="Calibri" w:eastAsia="Helvetica" w:hAnsi="Calibri" w:cs="Helvetica"/>
          <w:i/>
          <w:iCs/>
          <w:sz w:val="22"/>
          <w:szCs w:val="22"/>
        </w:rPr>
        <w:t>Seconde allogreffe de la face sur un patient de 26 ans</w:t>
      </w:r>
      <w:r>
        <w:rPr>
          <w:rFonts w:ascii="Calibri" w:eastAsia="Helvetica" w:hAnsi="Calibri" w:cs="Helvetica"/>
          <w:sz w:val="22"/>
          <w:szCs w:val="22"/>
        </w:rPr>
        <w:t xml:space="preserve">, 12/01/2010, </w:t>
      </w:r>
      <w:hyperlink r:id="rId6">
        <w:r>
          <w:rPr>
            <w:rStyle w:val="LienInternet"/>
            <w:rFonts w:ascii="Calibri" w:hAnsi="Calibri"/>
            <w:sz w:val="22"/>
            <w:szCs w:val="22"/>
          </w:rPr>
          <w:t>http://www.reseau-chu.org/les-articles/article/article/seconde-allogreffe-de-la-face-sur-un-patient-de-26-ans/</w:t>
        </w:r>
      </w:hyperlink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8 : montage réalisé à partir de l'annexe 1 du dossier de presse du CHU d'Amiens, </w:t>
      </w:r>
      <w:hyperlink r:id="rId7">
        <w:r>
          <w:rPr>
            <w:rStyle w:val="LienInternet"/>
            <w:rFonts w:ascii="Calibri" w:hAnsi="Calibri"/>
            <w:sz w:val="22"/>
            <w:szCs w:val="22"/>
          </w:rPr>
          <w:t>http://www.chu-amiens.fr/document.php5?id_document=482</w:t>
        </w:r>
      </w:hyperlink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Doc. 9 : Clara Beaudoux, </w:t>
      </w:r>
      <w:r>
        <w:rPr>
          <w:rFonts w:ascii="Calibri" w:eastAsia="ArialMT" w:hAnsi="Calibri" w:cs="ArialMT"/>
          <w:i/>
          <w:iCs/>
          <w:spacing w:val="-20"/>
          <w:sz w:val="22"/>
          <w:szCs w:val="22"/>
        </w:rPr>
        <w:t xml:space="preserve">Etats-Unis : la greffe de visage la plus étendue jamais réalisée, </w:t>
      </w:r>
      <w:r>
        <w:rPr>
          <w:rFonts w:ascii="Calibri" w:eastAsia="ArialMT" w:hAnsi="Calibri" w:cs="ArialMT"/>
          <w:spacing w:val="-20"/>
          <w:sz w:val="22"/>
          <w:szCs w:val="22"/>
        </w:rPr>
        <w:t xml:space="preserve">28 mars 2012, </w:t>
      </w:r>
      <w:hyperlink r:id="rId8">
        <w:r>
          <w:rPr>
            <w:rStyle w:val="LienInternet"/>
            <w:rFonts w:ascii="Calibri" w:hAnsi="Calibri"/>
            <w:sz w:val="22"/>
            <w:szCs w:val="22"/>
          </w:rPr>
          <w:t>http://www.franceinfo.fr/sciences-sante/etats-unis-la-greffe-de-visage-la-plus-etendue-jamais-realisee-570147-2012-03-28</w:t>
        </w:r>
      </w:hyperlink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>Doc. 10 : montage réalisé à partir des dossiers de presse de University of Maryland Medical Center :</w:t>
      </w: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1) </w:t>
      </w:r>
      <w:hyperlink>
        <w:r>
          <w:rPr>
            <w:rStyle w:val="LienInternet"/>
            <w:rFonts w:ascii="Calibri" w:hAnsi="Calibri"/>
            <w:sz w:val="22"/>
            <w:szCs w:val="22"/>
          </w:rPr>
          <w:t>http://umm.edu/~/media/UMM/Images/Centers%20and%20Services/Face%20Transplant/Patient%20Before%20Surgery.ashx</w:t>
        </w:r>
      </w:hyperlink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2) </w:t>
      </w:r>
      <w:hyperlink>
        <w:r>
          <w:rPr>
            <w:rStyle w:val="LienInternet"/>
            <w:rFonts w:ascii="Calibri" w:hAnsi="Calibri"/>
            <w:sz w:val="22"/>
            <w:szCs w:val="22"/>
          </w:rPr>
          <w:t>http://umm.edu/~/media/UMM/Images/Centers%20and%20Services/Face%20Transplant/Patient%20prom%20photo.ashx</w:t>
        </w:r>
      </w:hyperlink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3) </w:t>
      </w:r>
      <w:hyperlink>
        <w:r>
          <w:rPr>
            <w:rStyle w:val="LienInternet"/>
            <w:rFonts w:ascii="Calibri" w:hAnsi="Calibri"/>
            <w:sz w:val="22"/>
            <w:szCs w:val="22"/>
          </w:rPr>
          <w:t>http://umm.edu/~/media/UMM/Images/Centers%20and%20Services/Face%20Transplant/6%20days%20after%20transplant.ashx</w:t>
        </w:r>
      </w:hyperlink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AC6E68">
      <w:pPr>
        <w:pStyle w:val="Standard"/>
        <w:jc w:val="both"/>
      </w:pPr>
    </w:p>
    <w:p w:rsidR="00AC6E68" w:rsidRDefault="00E07ED5">
      <w:pPr>
        <w:pStyle w:val="Standard"/>
        <w:jc w:val="both"/>
      </w:pPr>
      <w:r>
        <w:rPr>
          <w:rFonts w:ascii="Calibri" w:eastAsia="Helvetica" w:hAnsi="Calibri" w:cs="Helvetica"/>
          <w:sz w:val="22"/>
          <w:szCs w:val="22"/>
        </w:rPr>
        <w:t xml:space="preserve"> </w:t>
      </w:r>
    </w:p>
    <w:p w:rsidR="00AC6E68" w:rsidRDefault="00AC6E68">
      <w:pPr>
        <w:pStyle w:val="Standard"/>
        <w:jc w:val="both"/>
      </w:pPr>
    </w:p>
    <w:p w:rsidR="00AC6E68" w:rsidRDefault="00AC6E68">
      <w:pPr>
        <w:pStyle w:val="Standard"/>
        <w:jc w:val="both"/>
      </w:pPr>
    </w:p>
    <w:p w:rsidR="00AC6E68" w:rsidRDefault="00AC6E68">
      <w:pPr>
        <w:pStyle w:val="Standard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center"/>
      </w:pPr>
    </w:p>
    <w:p w:rsidR="00AC6E68" w:rsidRDefault="00AC6E68">
      <w:pPr>
        <w:pStyle w:val="Standard"/>
        <w:autoSpaceDE w:val="0"/>
        <w:jc w:val="center"/>
      </w:pPr>
    </w:p>
    <w:p w:rsidR="00AC6E68" w:rsidRDefault="00AC6E68">
      <w:pPr>
        <w:pStyle w:val="Standard"/>
        <w:autoSpaceDE w:val="0"/>
        <w:jc w:val="center"/>
      </w:pPr>
    </w:p>
    <w:p w:rsidR="00AC6E68" w:rsidRDefault="00E07ED5">
      <w:pPr>
        <w:pStyle w:val="Standard"/>
        <w:autoSpaceDE w:val="0"/>
        <w:jc w:val="center"/>
      </w:pPr>
      <w:r>
        <w:rPr>
          <w:rFonts w:ascii="Calibri" w:eastAsia="Helvetica" w:hAnsi="Calibri" w:cs="Helvetica"/>
          <w:sz w:val="22"/>
          <w:szCs w:val="22"/>
        </w:rPr>
        <w:t>Iconographie</w:t>
      </w:r>
    </w:p>
    <w:p w:rsidR="00AC6E68" w:rsidRDefault="00AC6E68">
      <w:pPr>
        <w:pStyle w:val="Standard"/>
        <w:autoSpaceDE w:val="0"/>
        <w:jc w:val="both"/>
      </w:pPr>
    </w:p>
    <w:p w:rsidR="00AC6E68" w:rsidRDefault="00E07ED5">
      <w:pPr>
        <w:pStyle w:val="Standard"/>
        <w:autoSpaceDE w:val="0"/>
        <w:jc w:val="both"/>
      </w:pPr>
      <w:r>
        <w:rPr>
          <w:rFonts w:ascii="Calibri" w:eastAsia="Helvetica" w:hAnsi="Calibri" w:cs="Helvetica"/>
          <w:sz w:val="22"/>
          <w:szCs w:val="22"/>
        </w:rPr>
        <w:t>Doc. 2 : Tentative de reconstruction du nez et du menton d'un soldat par la méthode dite de « greffe italienne »</w:t>
      </w:r>
    </w:p>
    <w:p w:rsidR="00AC6E68" w:rsidRDefault="00E07ED5">
      <w:pPr>
        <w:pStyle w:val="Standard"/>
        <w:autoSpaceDE w:val="0"/>
        <w:jc w:val="both"/>
      </w:pPr>
      <w:r>
        <w:rPr>
          <w:rFonts w:ascii="Calibri" w:eastAsia="Helvetica" w:hAnsi="Calibri" w:cs="Helvetica"/>
          <w:noProof/>
          <w:sz w:val="22"/>
          <w:szCs w:val="22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142240</wp:posOffset>
            </wp:positionV>
            <wp:extent cx="3658235" cy="3039745"/>
            <wp:effectExtent l="0" t="0" r="0" b="0"/>
            <wp:wrapTopAndBottom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Standard"/>
        <w:autoSpaceDE w:val="0"/>
        <w:jc w:val="both"/>
      </w:pPr>
    </w:p>
    <w:p w:rsidR="00AC6E68" w:rsidRDefault="00E07ED5">
      <w:pPr>
        <w:pStyle w:val="Standard"/>
        <w:autoSpaceDE w:val="0"/>
        <w:jc w:val="both"/>
      </w:pPr>
      <w:r>
        <w:rPr>
          <w:rFonts w:ascii="Calibri" w:eastAsia="Helvetica" w:hAnsi="Calibri" w:cs="Helvetica"/>
          <w:sz w:val="22"/>
          <w:szCs w:val="22"/>
        </w:rPr>
        <w:t>Doc. 3 : Gravure de 1597 du médecin italien Gaspare Tagliacozzi (</w:t>
      </w:r>
      <w:r>
        <w:rPr>
          <w:rFonts w:ascii="Calibri" w:eastAsia="Helvetica" w:hAnsi="Calibri" w:cs="Helvetica"/>
          <w:i/>
          <w:iCs/>
          <w:sz w:val="22"/>
          <w:szCs w:val="22"/>
        </w:rPr>
        <w:t>De Curtorum Chirurgia</w:t>
      </w:r>
      <w:r>
        <w:rPr>
          <w:rFonts w:ascii="Calibri" w:eastAsia="Helvetica" w:hAnsi="Calibri" w:cs="Helvetica"/>
          <w:sz w:val="22"/>
          <w:szCs w:val="22"/>
        </w:rPr>
        <w:t>)</w:t>
      </w:r>
    </w:p>
    <w:p w:rsidR="00AC6E68" w:rsidRDefault="00AC6E68">
      <w:pPr>
        <w:pStyle w:val="Standard"/>
        <w:autoSpaceDE w:val="0"/>
        <w:jc w:val="both"/>
      </w:pPr>
    </w:p>
    <w:p w:rsidR="00AC6E68" w:rsidRDefault="00E07ED5">
      <w:pPr>
        <w:pStyle w:val="Standard"/>
        <w:autoSpaceDE w:val="0"/>
        <w:jc w:val="both"/>
      </w:pPr>
      <w:r>
        <w:rPr>
          <w:rFonts w:ascii="Calibri" w:eastAsia="Helvetica" w:hAnsi="Calibri" w:cs="Helvetica"/>
          <w:noProof/>
          <w:sz w:val="22"/>
          <w:szCs w:val="22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0</wp:posOffset>
            </wp:positionV>
            <wp:extent cx="3592195" cy="4274820"/>
            <wp:effectExtent l="0" t="0" r="0" b="0"/>
            <wp:wrapTopAndBottom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E68" w:rsidRDefault="00AC6E68">
      <w:pPr>
        <w:pStyle w:val="Standard"/>
        <w:autoSpaceDE w:val="0"/>
        <w:jc w:val="both"/>
      </w:pPr>
    </w:p>
    <w:p w:rsidR="00AC6E68" w:rsidRDefault="00AC6E68">
      <w:pPr>
        <w:pStyle w:val="Corpsdetexte"/>
        <w:spacing w:after="0"/>
        <w:jc w:val="both"/>
      </w:pPr>
    </w:p>
    <w:p w:rsidR="00AC6E68" w:rsidRDefault="00E07ED5">
      <w:pPr>
        <w:pStyle w:val="Corpsdetexte"/>
        <w:spacing w:after="0"/>
        <w:jc w:val="both"/>
      </w:pPr>
      <w:r>
        <w:rPr>
          <w:rFonts w:ascii="Calibri" w:hAnsi="Calibri"/>
          <w:color w:val="000000"/>
          <w:sz w:val="22"/>
          <w:szCs w:val="22"/>
        </w:rPr>
        <w:t xml:space="preserve">Doc. </w:t>
      </w:r>
      <w:r>
        <w:rPr>
          <w:rFonts w:ascii="Calibri" w:hAnsi="Calibri"/>
          <w:noProof/>
          <w:color w:val="000000"/>
          <w:sz w:val="22"/>
          <w:szCs w:val="22"/>
          <w:lang w:eastAsia="fr-F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1994535</wp:posOffset>
            </wp:positionV>
            <wp:extent cx="1651635" cy="1640205"/>
            <wp:effectExtent l="0" t="0" r="0" b="0"/>
            <wp:wrapTopAndBottom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4 : Otto Dix, </w:t>
      </w:r>
      <w:r>
        <w:rPr>
          <w:rFonts w:ascii="Calibri" w:hAnsi="Calibri"/>
          <w:i/>
          <w:iCs/>
          <w:color w:val="000000"/>
          <w:sz w:val="22"/>
          <w:szCs w:val="22"/>
        </w:rPr>
        <w:t>Les joueurs de Skat</w:t>
      </w:r>
      <w:r>
        <w:rPr>
          <w:rFonts w:ascii="Calibri" w:hAnsi="Calibri"/>
          <w:color w:val="000000"/>
          <w:sz w:val="22"/>
          <w:szCs w:val="22"/>
        </w:rPr>
        <w:t xml:space="preserve">, 1920                  Doc. 5 : </w:t>
      </w:r>
      <w:r>
        <w:rPr>
          <w:rFonts w:ascii="Calibri" w:hAnsi="Calibri"/>
          <w:i/>
          <w:iCs/>
          <w:color w:val="000000"/>
          <w:sz w:val="22"/>
          <w:szCs w:val="22"/>
        </w:rPr>
        <w:t>Les joueurs de Skat</w:t>
      </w:r>
      <w:r>
        <w:rPr>
          <w:rFonts w:ascii="Calibri" w:hAnsi="Calibri"/>
          <w:color w:val="000000"/>
          <w:sz w:val="22"/>
          <w:szCs w:val="22"/>
        </w:rPr>
        <w:t xml:space="preserve"> (détails)</w:t>
      </w:r>
    </w:p>
    <w:p w:rsidR="00AC6E68" w:rsidRDefault="00AC6E68">
      <w:pPr>
        <w:pStyle w:val="Corpsdetexte"/>
        <w:spacing w:after="0"/>
        <w:jc w:val="both"/>
      </w:pPr>
    </w:p>
    <w:p w:rsidR="00AC6E68" w:rsidRDefault="00E07ED5">
      <w:pPr>
        <w:pStyle w:val="Corpsdetexte"/>
        <w:autoSpaceDE w:val="0"/>
        <w:spacing w:after="0" w:line="100" w:lineRule="atLeast"/>
        <w:jc w:val="both"/>
      </w:pPr>
      <w:r>
        <w:rPr>
          <w:rFonts w:ascii="Calibri" w:hAnsi="Calibri"/>
          <w:sz w:val="22"/>
          <w:szCs w:val="22"/>
        </w:rPr>
        <w:t>Doc. 6 :</w:t>
      </w:r>
      <w:r>
        <w:rPr>
          <w:rFonts w:ascii="Calibri" w:hAnsi="Calibri"/>
          <w:noProof/>
          <w:sz w:val="22"/>
          <w:szCs w:val="22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-18415</wp:posOffset>
            </wp:positionV>
            <wp:extent cx="1453515" cy="1657350"/>
            <wp:effectExtent l="0" t="0" r="0" b="0"/>
            <wp:wrapTopAndBottom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-55245</wp:posOffset>
            </wp:positionV>
            <wp:extent cx="2983230" cy="3430270"/>
            <wp:effectExtent l="0" t="0" r="0" b="0"/>
            <wp:wrapTopAndBottom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-25400</wp:posOffset>
            </wp:positionV>
            <wp:extent cx="1458595" cy="1666875"/>
            <wp:effectExtent l="0" t="0" r="0" b="0"/>
            <wp:wrapTopAndBottom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Helvetica" w:hAnsi="Calibri" w:cs="Helvetica"/>
          <w:sz w:val="22"/>
          <w:szCs w:val="22"/>
        </w:rPr>
        <w:t xml:space="preserve"> La chirurgie dans le cinéma fantastique : la créature de Frankenstein</w:t>
      </w:r>
    </w:p>
    <w:p w:rsidR="00AC6E68" w:rsidRDefault="00040FE4">
      <w:pPr>
        <w:pStyle w:val="Corpsdetexte"/>
        <w:autoSpaceDE w:val="0"/>
        <w:spacing w:after="0" w:line="100" w:lineRule="atLeast"/>
        <w:jc w:val="both"/>
      </w:pPr>
      <w:r>
        <w:rPr>
          <w:rFonts w:ascii="Calibri" w:eastAsia="Helvetica" w:hAnsi="Calibri" w:cs="Helvetica"/>
          <w:noProof/>
          <w:sz w:val="22"/>
          <w:szCs w:val="22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-9371330</wp:posOffset>
            </wp:positionV>
            <wp:extent cx="6485890" cy="2966085"/>
            <wp:effectExtent l="25400" t="0" r="0" b="0"/>
            <wp:wrapTopAndBottom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ED5">
        <w:rPr>
          <w:rFonts w:ascii="Calibri" w:eastAsia="Helvetica" w:hAnsi="Calibri" w:cs="Helvetica"/>
          <w:noProof/>
          <w:sz w:val="22"/>
          <w:szCs w:val="22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108585</wp:posOffset>
            </wp:positionV>
            <wp:extent cx="3874770" cy="5088890"/>
            <wp:effectExtent l="0" t="0" r="0" b="0"/>
            <wp:wrapTopAndBottom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E68" w:rsidRDefault="00AC6E68">
      <w:pPr>
        <w:pStyle w:val="Corpsdetexte"/>
        <w:autoSpaceDE w:val="0"/>
        <w:spacing w:after="0" w:line="100" w:lineRule="atLeast"/>
        <w:jc w:val="both"/>
      </w:pPr>
    </w:p>
    <w:p w:rsidR="00AC6E68" w:rsidRDefault="00E07ED5">
      <w:pPr>
        <w:pStyle w:val="Corpsdetexte"/>
        <w:autoSpaceDE w:val="0"/>
        <w:spacing w:after="0" w:line="100" w:lineRule="atLeast"/>
        <w:jc w:val="both"/>
      </w:pPr>
      <w:r>
        <w:rPr>
          <w:rFonts w:ascii="Calibri" w:eastAsia="Helvetica" w:hAnsi="Calibri" w:cs="Helvetica"/>
          <w:sz w:val="22"/>
          <w:szCs w:val="22"/>
        </w:rPr>
        <w:t>Doc. 7 : Construction informatique des étapes de la greffe de 2008</w:t>
      </w:r>
    </w:p>
    <w:p w:rsidR="00AC6E68" w:rsidRDefault="00E07ED5">
      <w:pPr>
        <w:pStyle w:val="Corpsdetexte"/>
        <w:autoSpaceDE w:val="0"/>
        <w:spacing w:after="0" w:line="100" w:lineRule="atLeast"/>
        <w:jc w:val="both"/>
      </w:pPr>
      <w:r>
        <w:rPr>
          <w:rFonts w:ascii="Calibri" w:eastAsia="Helvetica" w:hAnsi="Calibri" w:cs="Helvetica"/>
          <w:noProof/>
          <w:sz w:val="22"/>
          <w:szCs w:val="22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6292850" cy="1878965"/>
            <wp:effectExtent l="0" t="0" r="0" b="0"/>
            <wp:wrapTopAndBottom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E68" w:rsidRDefault="00AC6E68">
      <w:pPr>
        <w:pStyle w:val="Corpsdetexte"/>
        <w:autoSpaceDE w:val="0"/>
        <w:spacing w:after="0" w:line="100" w:lineRule="atLeast"/>
        <w:jc w:val="both"/>
      </w:pPr>
    </w:p>
    <w:p w:rsidR="00AC6E68" w:rsidRDefault="00E07ED5">
      <w:pPr>
        <w:pStyle w:val="Corpsdetexte"/>
        <w:autoSpaceDE w:val="0"/>
        <w:spacing w:after="0" w:line="100" w:lineRule="atLeast"/>
        <w:jc w:val="both"/>
      </w:pPr>
      <w:r>
        <w:rPr>
          <w:rFonts w:ascii="Calibri" w:eastAsia="Helvetica" w:hAnsi="Calibri" w:cs="Helvetica"/>
          <w:sz w:val="22"/>
          <w:szCs w:val="22"/>
        </w:rPr>
        <w:t>Doc. 10 : Richard Norris avant son accident, après les premières interventions et après la greffe</w:t>
      </w:r>
    </w:p>
    <w:p w:rsidR="00AC6E68" w:rsidRDefault="00AC6E68">
      <w:pPr>
        <w:pStyle w:val="Corpsdetexte"/>
        <w:autoSpaceDE w:val="0"/>
        <w:spacing w:after="0" w:line="100" w:lineRule="atLeast"/>
        <w:jc w:val="both"/>
      </w:pPr>
    </w:p>
    <w:sectPr w:rsidR="00AC6E68" w:rsidSect="00AC6E68">
      <w:pgSz w:w="11906" w:h="16838"/>
      <w:pgMar w:top="794" w:right="794" w:bottom="850" w:left="794" w:header="0" w:footer="0" w:gutter="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charset w:val="00"/>
    <w:family w:val="roman"/>
    <w:pitch w:val="variable"/>
    <w:sig w:usb0="00008003" w:usb1="00000000" w:usb2="00000000" w:usb3="00000000" w:csb0="00000001" w:csb1="00000000"/>
  </w:font>
  <w:font w:name="Lucida Grande">
    <w:altName w:val="Perpetua"/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OpenSymbol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rebuchetM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oNotTrackMoves/>
  <w:defaultTabStop w:val="709"/>
  <w:hyphenationZone w:val="425"/>
  <w:characterSpacingControl w:val="doNotCompress"/>
  <w:compat>
    <w:useFELayout/>
  </w:compat>
  <w:rsids>
    <w:rsidRoot w:val="00AC6E68"/>
    <w:rsid w:val="00040FE4"/>
    <w:rsid w:val="000C0543"/>
    <w:rsid w:val="00AC6E68"/>
    <w:rsid w:val="00C72BF2"/>
    <w:rsid w:val="00E07ED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543"/>
  </w:style>
  <w:style w:type="paragraph" w:styleId="Titre2">
    <w:name w:val="heading 2"/>
    <w:basedOn w:val="Titre"/>
    <w:next w:val="Corpsdetexte"/>
    <w:rsid w:val="00AC6E68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Titre3">
    <w:name w:val="heading 3"/>
    <w:basedOn w:val="Titre"/>
    <w:next w:val="Corpsdetexte"/>
    <w:rsid w:val="00AC6E68"/>
    <w:pPr>
      <w:outlineLvl w:val="2"/>
    </w:pPr>
    <w:rPr>
      <w:rFonts w:ascii="Times New Roman" w:eastAsia="SimSun" w:hAnsi="Times New Roman"/>
      <w:b/>
      <w:bCs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42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422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AC6E68"/>
    <w:pPr>
      <w:widowControl w:val="0"/>
      <w:suppressAutoHyphens/>
    </w:pPr>
    <w:rPr>
      <w:rFonts w:ascii="Times New Roman" w:eastAsia="SimSun" w:hAnsi="Times New Roman" w:cs="Mangal"/>
      <w:lang w:eastAsia="zh-CN" w:bidi="hi-IN"/>
    </w:rPr>
  </w:style>
  <w:style w:type="character" w:customStyle="1" w:styleId="LienInternet">
    <w:name w:val="Lien Internet"/>
    <w:rsid w:val="00AC6E68"/>
    <w:rPr>
      <w:color w:val="000080"/>
      <w:u w:val="single"/>
      <w:lang w:val="fr-FR" w:eastAsia="fr-FR" w:bidi="fr-FR"/>
    </w:rPr>
  </w:style>
  <w:style w:type="character" w:styleId="Accentuation">
    <w:name w:val="Emphasis"/>
    <w:rsid w:val="00AC6E68"/>
    <w:rPr>
      <w:i/>
      <w:iCs/>
    </w:rPr>
  </w:style>
  <w:style w:type="character" w:customStyle="1" w:styleId="Puces">
    <w:name w:val="Puces"/>
    <w:rsid w:val="00AC6E68"/>
    <w:rPr>
      <w:rFonts w:ascii="OpenSymbol" w:eastAsia="OpenSymbol" w:hAnsi="OpenSymbol" w:cs="OpenSymbol"/>
    </w:rPr>
  </w:style>
  <w:style w:type="character" w:customStyle="1" w:styleId="LienInternetvisit">
    <w:name w:val="Lien Internet visité"/>
    <w:rsid w:val="00AC6E68"/>
    <w:rPr>
      <w:color w:val="800000"/>
      <w:u w:val="single"/>
      <w:lang w:val="fr-FR" w:eastAsia="fr-FR" w:bidi="fr-FR"/>
    </w:rPr>
  </w:style>
  <w:style w:type="paragraph" w:styleId="Titre">
    <w:name w:val="Title"/>
    <w:basedOn w:val="Standard"/>
    <w:next w:val="Corpsdetexte"/>
    <w:rsid w:val="00AC6E6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Standard"/>
    <w:rsid w:val="00AC6E68"/>
    <w:pPr>
      <w:spacing w:after="120"/>
    </w:pPr>
  </w:style>
  <w:style w:type="paragraph" w:styleId="Liste">
    <w:name w:val="List"/>
    <w:basedOn w:val="Corpsdetexte"/>
    <w:rsid w:val="00AC6E68"/>
  </w:style>
  <w:style w:type="paragraph" w:styleId="Lgende">
    <w:name w:val="caption"/>
    <w:basedOn w:val="Standard"/>
    <w:rsid w:val="00AC6E6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C6E68"/>
    <w:pPr>
      <w:suppressLineNumbers/>
    </w:pPr>
  </w:style>
  <w:style w:type="paragraph" w:styleId="Citation">
    <w:name w:val="Quote"/>
    <w:basedOn w:val="Standard"/>
    <w:rsid w:val="00AC6E68"/>
    <w:pPr>
      <w:spacing w:after="283"/>
      <w:ind w:left="567" w:right="567"/>
    </w:pPr>
  </w:style>
  <w:style w:type="paragraph" w:customStyle="1" w:styleId="Contenuducadre">
    <w:name w:val="Contenu du cadre"/>
    <w:basedOn w:val="Corpsdetexte"/>
    <w:rsid w:val="00AC6E68"/>
  </w:style>
  <w:style w:type="paragraph" w:customStyle="1" w:styleId="Contenudetableau">
    <w:name w:val="Contenu de tableau"/>
    <w:basedOn w:val="Standard"/>
    <w:rsid w:val="00AC6E68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fr.wikipedia.org/wiki/Sp&#233;cial:Ouvrages_de_r&#233;f&#233;rence/2-266-09308-8" TargetMode="External"/><Relationship Id="rId5" Type="http://schemas.openxmlformats.org/officeDocument/2006/relationships/hyperlink" Target="http://www.biusante.parisdescartes.fr/histmed/image?01619" TargetMode="External"/><Relationship Id="rId6" Type="http://schemas.openxmlformats.org/officeDocument/2006/relationships/hyperlink" Target="http://www.reseau-chu.org/les-articles/article/article/seconde-allogreffe-de-la-face-sur-un-patient-de-26-ans/" TargetMode="External"/><Relationship Id="rId7" Type="http://schemas.openxmlformats.org/officeDocument/2006/relationships/hyperlink" Target="http://www.chu-amiens.fr/document.php5?id_document=482" TargetMode="External"/><Relationship Id="rId8" Type="http://schemas.openxmlformats.org/officeDocument/2006/relationships/hyperlink" Target="http://www.franceinfo.fr/sciences-sante/etats-unis-la-greffe-de-visage-la-plus-etendue-jamais-realisee-570147-2012-03-28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13235</TotalTime>
  <Pages>4</Pages>
  <Words>426</Words>
  <Characters>2431</Characters>
  <Application>Microsoft Macintosh Word</Application>
  <DocSecurity>0</DocSecurity>
  <Lines>20</Lines>
  <Paragraphs>4</Paragraphs>
  <ScaleCrop>false</ScaleCrop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PASQUIER</cp:lastModifiedBy>
  <cp:revision>2</cp:revision>
  <cp:lastPrinted>2013-12-04T10:32:00Z</cp:lastPrinted>
  <dcterms:created xsi:type="dcterms:W3CDTF">2012-07-02T14:09:00Z</dcterms:created>
  <dcterms:modified xsi:type="dcterms:W3CDTF">2014-04-29T17:39:00Z</dcterms:modified>
</cp:coreProperties>
</file>